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0D34758A" w:rsidR="00785D6A" w:rsidRPr="00FA0358" w:rsidRDefault="00344EC2"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50702A65"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B56E20">
        <w:rPr>
          <w:rFonts w:ascii="Arial" w:eastAsia="Times New Roman" w:hAnsi="Arial" w:cs="Arial"/>
          <w:b/>
          <w:sz w:val="24"/>
          <w:szCs w:val="24"/>
          <w:lang w:eastAsia="zh-CN"/>
        </w:rPr>
        <w:t>LIMPADOR PERFUMADO</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76B850A7" w:rsidR="009B492C" w:rsidRPr="002E6ABF" w:rsidRDefault="00344EC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09</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73B39838" w:rsidR="009B492C" w:rsidRPr="002E6ABF" w:rsidRDefault="00344EC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09</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4BEA65F0" w:rsidR="009B492C" w:rsidRPr="002E6ABF" w:rsidRDefault="00344EC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09</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6D83DA1"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B56E20">
        <w:rPr>
          <w:rFonts w:ascii="Arial" w:hAnsi="Arial" w:cs="Arial"/>
          <w:b/>
          <w:i/>
          <w:color w:val="000000"/>
          <w:sz w:val="24"/>
          <w:szCs w:val="24"/>
        </w:rPr>
        <w:t xml:space="preserve">limpador perfumado </w:t>
      </w:r>
      <w:proofErr w:type="spellStart"/>
      <w:r w:rsidR="00B56E20">
        <w:rPr>
          <w:rFonts w:ascii="Arial" w:hAnsi="Arial" w:cs="Arial"/>
          <w:b/>
          <w:i/>
          <w:color w:val="000000"/>
          <w:sz w:val="24"/>
          <w:szCs w:val="24"/>
        </w:rPr>
        <w:t>diluível</w:t>
      </w:r>
      <w:proofErr w:type="spellEnd"/>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76A42635"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4A7664">
        <w:rPr>
          <w:rFonts w:ascii="Arial" w:eastAsia="Times New Roman" w:hAnsi="Arial" w:cs="Arial"/>
          <w:b/>
          <w:bCs/>
          <w:sz w:val="24"/>
          <w:szCs w:val="24"/>
          <w:lang w:eastAsia="zh-CN"/>
        </w:rPr>
        <w:t>31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4A7664">
        <w:rPr>
          <w:rFonts w:ascii="Arial" w:eastAsia="Times New Roman" w:hAnsi="Arial" w:cs="Arial"/>
          <w:b/>
          <w:sz w:val="24"/>
          <w:szCs w:val="24"/>
          <w:lang w:eastAsia="zh-CN"/>
        </w:rPr>
        <w:t>janeiro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344EC2">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02B1CE88"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B56E20" w:rsidRPr="000A10DE">
        <w:rPr>
          <w:rFonts w:ascii="Arial" w:eastAsia="Times New Roman" w:hAnsi="Arial" w:cs="Arial"/>
          <w:b/>
          <w:color w:val="000000"/>
          <w:sz w:val="24"/>
          <w:szCs w:val="24"/>
          <w:lang w:eastAsia="pt-BR"/>
        </w:rPr>
        <w:t>Contratação</w:t>
      </w:r>
      <w:r w:rsidR="00B56E20" w:rsidRPr="000A10DE">
        <w:rPr>
          <w:rFonts w:ascii="Arial" w:eastAsia="Times New Roman" w:hAnsi="Arial" w:cs="Arial"/>
          <w:color w:val="000000"/>
          <w:sz w:val="24"/>
          <w:szCs w:val="24"/>
          <w:lang w:eastAsia="pt-BR"/>
        </w:rPr>
        <w:t xml:space="preserve"> </w:t>
      </w:r>
      <w:r w:rsidR="00B56E20" w:rsidRPr="000A10DE">
        <w:rPr>
          <w:rFonts w:ascii="Arial" w:eastAsia="Times New Roman" w:hAnsi="Arial" w:cs="Arial"/>
          <w:b/>
          <w:color w:val="000000"/>
          <w:sz w:val="24"/>
          <w:szCs w:val="24"/>
          <w:lang w:eastAsia="pt-BR"/>
        </w:rPr>
        <w:t>exclusiva de ME, EPP ou Equiparadas</w:t>
      </w:r>
      <w:r w:rsidR="00B56E20" w:rsidRPr="000A10DE">
        <w:rPr>
          <w:rFonts w:ascii="Arial" w:eastAsia="Times New Roman" w:hAnsi="Arial" w:cs="Arial"/>
          <w:color w:val="000000"/>
          <w:sz w:val="24"/>
          <w:szCs w:val="24"/>
          <w:lang w:eastAsia="pt-BR"/>
        </w:rPr>
        <w:t xml:space="preserve"> para o </w:t>
      </w:r>
      <w:r w:rsidR="00B56E20" w:rsidRPr="00997D6F">
        <w:rPr>
          <w:rFonts w:ascii="Arial" w:eastAsia="Times New Roman" w:hAnsi="Arial" w:cs="Arial"/>
          <w:bCs/>
          <w:sz w:val="24"/>
          <w:szCs w:val="24"/>
          <w:lang w:eastAsia="zh-CN"/>
        </w:rPr>
        <w:t xml:space="preserve">fornecimento estimado de </w:t>
      </w:r>
      <w:r w:rsidR="00B56E20" w:rsidRPr="00997D6F">
        <w:rPr>
          <w:rFonts w:ascii="Arial" w:eastAsia="Times New Roman" w:hAnsi="Arial" w:cs="Arial"/>
          <w:color w:val="000000"/>
          <w:sz w:val="24"/>
          <w:szCs w:val="24"/>
        </w:rPr>
        <w:t xml:space="preserve">120 (cento e vinte) galões com cinco litros de limpador perfumado </w:t>
      </w:r>
      <w:proofErr w:type="spellStart"/>
      <w:r w:rsidR="00B56E20" w:rsidRPr="00997D6F">
        <w:rPr>
          <w:rFonts w:ascii="Arial" w:eastAsia="Times New Roman" w:hAnsi="Arial" w:cs="Arial"/>
          <w:color w:val="000000"/>
          <w:sz w:val="24"/>
          <w:szCs w:val="24"/>
        </w:rPr>
        <w:t>diluível</w:t>
      </w:r>
      <w:proofErr w:type="spellEnd"/>
      <w:r w:rsidR="00B56E20" w:rsidRPr="00997D6F">
        <w:rPr>
          <w:rFonts w:ascii="Arial" w:eastAsia="Times New Roman" w:hAnsi="Arial" w:cs="Arial"/>
          <w:color w:val="000000"/>
          <w:sz w:val="24"/>
          <w:szCs w:val="24"/>
        </w:rPr>
        <w:t xml:space="preserve"> para pisos, com componente ativo </w:t>
      </w:r>
      <w:proofErr w:type="spellStart"/>
      <w:r w:rsidR="00B56E20" w:rsidRPr="00997D6F">
        <w:rPr>
          <w:rFonts w:ascii="Arial" w:eastAsia="Times New Roman" w:hAnsi="Arial" w:cs="Arial"/>
          <w:color w:val="000000"/>
          <w:sz w:val="24"/>
          <w:szCs w:val="24"/>
        </w:rPr>
        <w:t>nonil</w:t>
      </w:r>
      <w:proofErr w:type="spellEnd"/>
      <w:r w:rsidR="00B56E20" w:rsidRPr="00997D6F">
        <w:rPr>
          <w:rFonts w:ascii="Arial" w:eastAsia="Times New Roman" w:hAnsi="Arial" w:cs="Arial"/>
          <w:color w:val="000000"/>
          <w:sz w:val="24"/>
          <w:szCs w:val="24"/>
        </w:rPr>
        <w:t xml:space="preserve"> fenol </w:t>
      </w:r>
      <w:proofErr w:type="spellStart"/>
      <w:r w:rsidR="00B56E20" w:rsidRPr="00997D6F">
        <w:rPr>
          <w:rFonts w:ascii="Arial" w:eastAsia="Times New Roman" w:hAnsi="Arial" w:cs="Arial"/>
          <w:color w:val="000000"/>
          <w:sz w:val="24"/>
          <w:szCs w:val="24"/>
        </w:rPr>
        <w:t>etoxilado</w:t>
      </w:r>
      <w:proofErr w:type="spellEnd"/>
      <w:r w:rsidR="00B56E20" w:rsidRPr="00997D6F">
        <w:rPr>
          <w:rFonts w:ascii="Arial" w:eastAsia="Times New Roman" w:hAnsi="Arial" w:cs="Arial"/>
          <w:color w:val="000000"/>
          <w:sz w:val="24"/>
          <w:szCs w:val="24"/>
        </w:rPr>
        <w:t xml:space="preserve"> com 9,5 moles de óxido de eteno</w:t>
      </w:r>
      <w:r w:rsidR="00B56E20">
        <w:rPr>
          <w:rFonts w:ascii="Arial" w:eastAsia="Times New Roman" w:hAnsi="Arial" w:cs="Arial"/>
          <w:color w:val="000000"/>
          <w:sz w:val="24"/>
          <w:szCs w:val="24"/>
        </w:rPr>
        <w:t xml:space="preserve">, </w:t>
      </w:r>
      <w:r w:rsidR="00B56E20" w:rsidRPr="00997D6F">
        <w:rPr>
          <w:rFonts w:ascii="Arial" w:eastAsia="Times New Roman" w:hAnsi="Arial" w:cs="Arial"/>
          <w:bCs/>
          <w:sz w:val="24"/>
          <w:szCs w:val="24"/>
          <w:lang w:eastAsia="zh-CN"/>
        </w:rPr>
        <w:t>de forma parcelada, mediante requisição</w:t>
      </w:r>
      <w:r w:rsidR="00B56E20">
        <w:rPr>
          <w:rFonts w:ascii="Arial" w:eastAsia="Times New Roman" w:hAnsi="Arial" w:cs="Arial"/>
          <w:bCs/>
          <w:sz w:val="24"/>
          <w:szCs w:val="24"/>
          <w:lang w:eastAsia="zh-CN"/>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2ED1EB9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44EC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2162982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44EC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caracterização do objeto da licitação, ser rubricada em todas as folhas e assinada ao final por </w:t>
      </w:r>
      <w:r>
        <w:rPr>
          <w:rFonts w:ascii="Arial" w:eastAsia="Times New Roman" w:hAnsi="Arial" w:cs="Arial"/>
          <w:sz w:val="24"/>
          <w:szCs w:val="24"/>
          <w:lang w:eastAsia="zh-CN"/>
        </w:rPr>
        <w:lastRenderedPageBreak/>
        <w:t>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F51780D" w14:textId="02FF11FD" w:rsidR="003C1B97" w:rsidRDefault="00C87DB6" w:rsidP="00C87DB6">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bookmarkStart w:id="0" w:name="_Hlk87601553"/>
      <w:r w:rsidRPr="00C87DB6">
        <w:rPr>
          <w:rFonts w:ascii="Arial" w:eastAsia="Times New Roman" w:hAnsi="Arial" w:cs="Arial"/>
          <w:sz w:val="24"/>
          <w:szCs w:val="24"/>
          <w:lang w:eastAsia="zh-CN"/>
        </w:rPr>
        <w:t>Prova de Autorização de Funcionamento (AFE)</w:t>
      </w:r>
      <w:r w:rsidRPr="00C87DB6">
        <w:rPr>
          <w:rFonts w:ascii="Arial" w:eastAsia="Times New Roman" w:hAnsi="Arial" w:cs="Arial"/>
          <w:sz w:val="20"/>
          <w:szCs w:val="20"/>
          <w:vertAlign w:val="superscript"/>
          <w:lang w:eastAsia="zh-CN"/>
        </w:rPr>
        <w:t xml:space="preserve"> (1) </w:t>
      </w:r>
      <w:r w:rsidRPr="00C87DB6">
        <w:rPr>
          <w:rFonts w:ascii="Arial" w:eastAsia="Times New Roman" w:hAnsi="Arial" w:cs="Arial"/>
          <w:sz w:val="24"/>
          <w:szCs w:val="24"/>
          <w:lang w:eastAsia="zh-CN"/>
        </w:rPr>
        <w:t>concedid</w:t>
      </w:r>
      <w:r>
        <w:rPr>
          <w:rFonts w:ascii="Arial" w:eastAsia="Times New Roman" w:hAnsi="Arial" w:cs="Arial"/>
          <w:sz w:val="24"/>
          <w:szCs w:val="24"/>
          <w:lang w:eastAsia="zh-CN"/>
        </w:rPr>
        <w:t>a</w:t>
      </w:r>
      <w:r w:rsidRPr="00C87DB6">
        <w:rPr>
          <w:rFonts w:ascii="Arial" w:eastAsia="Times New Roman" w:hAnsi="Arial" w:cs="Arial"/>
          <w:sz w:val="24"/>
          <w:szCs w:val="24"/>
          <w:lang w:eastAsia="zh-CN"/>
        </w:rPr>
        <w:t xml:space="preserve"> pela Anvisa. </w:t>
      </w:r>
    </w:p>
    <w:p w14:paraId="6859E4AB" w14:textId="66F3B185" w:rsidR="00C87DB6" w:rsidRDefault="00C87DB6" w:rsidP="00C87DB6">
      <w:pPr>
        <w:widowControl w:val="0"/>
        <w:suppressAutoHyphens/>
        <w:spacing w:after="0" w:line="240" w:lineRule="auto"/>
        <w:jc w:val="both"/>
        <w:rPr>
          <w:rFonts w:ascii="Arial" w:eastAsia="Times New Roman" w:hAnsi="Arial" w:cs="Arial"/>
          <w:sz w:val="24"/>
          <w:szCs w:val="24"/>
          <w:lang w:eastAsia="zh-CN"/>
        </w:rPr>
      </w:pPr>
    </w:p>
    <w:p w14:paraId="4C3E8EFE" w14:textId="644A4934" w:rsidR="00C87DB6" w:rsidRPr="00C87DB6" w:rsidRDefault="00C87DB6" w:rsidP="00C87DB6">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III.1</w:t>
      </w:r>
      <w:r>
        <w:rPr>
          <w:rFonts w:ascii="Arial" w:eastAsia="Times New Roman" w:hAnsi="Arial" w:cs="Arial"/>
          <w:sz w:val="24"/>
          <w:szCs w:val="24"/>
          <w:lang w:eastAsia="zh-CN"/>
        </w:rPr>
        <w:tab/>
        <w:t xml:space="preserve">A Prova de Autorização de Funcionamento (AFE) somente será exigida </w:t>
      </w:r>
      <w:r>
        <w:rPr>
          <w:rFonts w:ascii="Arial" w:eastAsia="Times New Roman" w:hAnsi="Arial" w:cs="Arial"/>
          <w:sz w:val="24"/>
          <w:szCs w:val="24"/>
          <w:lang w:eastAsia="zh-CN"/>
        </w:rPr>
        <w:lastRenderedPageBreak/>
        <w:t xml:space="preserve">da licitante que vier a concorrer para os itens </w:t>
      </w:r>
      <w:r w:rsidR="005B2260">
        <w:rPr>
          <w:rFonts w:ascii="Arial" w:eastAsia="Times New Roman" w:hAnsi="Arial" w:cs="Arial"/>
          <w:sz w:val="24"/>
          <w:szCs w:val="24"/>
          <w:lang w:eastAsia="zh-CN"/>
        </w:rPr>
        <w:t xml:space="preserve">nos quais se </w:t>
      </w:r>
      <w:r>
        <w:rPr>
          <w:rFonts w:ascii="Arial" w:eastAsia="Times New Roman" w:hAnsi="Arial" w:cs="Arial"/>
          <w:sz w:val="24"/>
          <w:szCs w:val="24"/>
          <w:lang w:eastAsia="zh-CN"/>
        </w:rPr>
        <w:t>aplic</w:t>
      </w:r>
      <w:r w:rsidR="005B2260">
        <w:rPr>
          <w:rFonts w:ascii="Arial" w:eastAsia="Times New Roman" w:hAnsi="Arial" w:cs="Arial"/>
          <w:sz w:val="24"/>
          <w:szCs w:val="24"/>
          <w:lang w:eastAsia="zh-CN"/>
        </w:rPr>
        <w:t xml:space="preserve">a. </w:t>
      </w:r>
      <w:bookmarkEnd w:id="0"/>
    </w:p>
    <w:p w14:paraId="67F3A305" w14:textId="44F3F991" w:rsidR="00C87DB6" w:rsidRDefault="00C87DB6" w:rsidP="00447FB8">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_____________________________________________ </w:t>
      </w:r>
    </w:p>
    <w:p w14:paraId="5EBA1128" w14:textId="2F2BC706" w:rsidR="00C87DB6" w:rsidRPr="00C87DB6" w:rsidRDefault="00C87DB6" w:rsidP="00447FB8">
      <w:pPr>
        <w:pStyle w:val="PargrafodaLista"/>
        <w:widowControl w:val="0"/>
        <w:numPr>
          <w:ilvl w:val="0"/>
          <w:numId w:val="31"/>
        </w:numPr>
        <w:suppressAutoHyphens/>
        <w:spacing w:after="0" w:line="240" w:lineRule="auto"/>
        <w:ind w:left="426"/>
        <w:rPr>
          <w:rFonts w:ascii="Arial" w:eastAsia="Times New Roman" w:hAnsi="Arial" w:cs="Arial"/>
          <w:sz w:val="18"/>
          <w:szCs w:val="18"/>
          <w:lang w:eastAsia="zh-CN"/>
        </w:rPr>
      </w:pPr>
      <w:r w:rsidRPr="00C87DB6">
        <w:rPr>
          <w:rFonts w:ascii="Arial" w:eastAsia="Times New Roman" w:hAnsi="Arial" w:cs="Arial"/>
          <w:sz w:val="18"/>
          <w:szCs w:val="18"/>
          <w:lang w:eastAsia="zh-CN"/>
        </w:rPr>
        <w:t>Atendimento de requisitos previstos em lei especial (Artigo 30, Inciso IV) da Lei 8666/93.</w:t>
      </w:r>
    </w:p>
    <w:p w14:paraId="5B08F6FA" w14:textId="77777777" w:rsidR="005B2260" w:rsidRDefault="005B2260"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w:t>
      </w:r>
      <w:r w:rsidRPr="00B72599">
        <w:rPr>
          <w:rFonts w:ascii="Arial" w:hAnsi="Arial" w:cs="Arial"/>
          <w:sz w:val="24"/>
          <w:szCs w:val="24"/>
        </w:rPr>
        <w:lastRenderedPageBreak/>
        <w:t>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7777777"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lastRenderedPageBreak/>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38E78C99"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IV.e</w:t>
      </w:r>
      <w:proofErr w:type="spellEnd"/>
      <w:r w:rsidRPr="00100639">
        <w:rPr>
          <w:rFonts w:ascii="Arial" w:hAnsi="Arial" w:cs="Arial"/>
          <w:sz w:val="24"/>
          <w:szCs w:val="24"/>
        </w:rPr>
        <w:t>) O cálculo acima deverá ser apresentado pela licitante, em papel timbrado, devidamente assinado.</w:t>
      </w:r>
    </w:p>
    <w:p w14:paraId="2609AA17"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5BCF0C65"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IV.f</w:t>
      </w:r>
      <w:proofErr w:type="spellEnd"/>
      <w:r w:rsidRPr="00100639">
        <w:rPr>
          <w:rFonts w:ascii="Arial" w:hAnsi="Arial" w:cs="Arial"/>
          <w:sz w:val="24"/>
          <w:szCs w:val="24"/>
        </w:rPr>
        <w:t>) Admite-se o arredondamento sucessivo da apuração do valor do índice. Se a casa decimal for cinco ou menor que cinco, o valor permanecerá. Se for maior que cinco será arredondado para a posição superior até o número inteiro.</w:t>
      </w:r>
    </w:p>
    <w:p w14:paraId="311B68F1"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3ED1AC36" w14:textId="205E0DB6" w:rsidR="00A94914"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IV.g</w:t>
      </w:r>
      <w:proofErr w:type="spellEnd"/>
      <w:r w:rsidRPr="00100639">
        <w:rPr>
          <w:rFonts w:ascii="Arial" w:hAnsi="Arial" w:cs="Arial"/>
          <w:sz w:val="24"/>
          <w:szCs w:val="24"/>
        </w:rPr>
        <w:t>) Da Adoção de índices (§ 5º, artigo 31 da Lei 8.666/93):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4FF4BA1A" w14:textId="3B1D7F7D"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lastRenderedPageBreak/>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w:t>
      </w:r>
      <w:r>
        <w:rPr>
          <w:rFonts w:ascii="Arial" w:eastAsia="Times New Roman" w:hAnsi="Arial" w:cs="Arial"/>
          <w:sz w:val="24"/>
          <w:szCs w:val="24"/>
          <w:lang w:eastAsia="zh-CN"/>
        </w:rPr>
        <w:lastRenderedPageBreak/>
        <w:t>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w:t>
      </w:r>
      <w:r>
        <w:rPr>
          <w:rFonts w:ascii="Arial" w:eastAsia="Times New Roman" w:hAnsi="Arial" w:cs="Arial"/>
          <w:sz w:val="24"/>
          <w:szCs w:val="24"/>
          <w:lang w:eastAsia="zh-CN"/>
        </w:rPr>
        <w:lastRenderedPageBreak/>
        <w:t xml:space="preserve">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superiores à licitante melhor classificada no certame, serão essas consideradas empatadas, </w:t>
      </w:r>
      <w:r w:rsidRPr="002E6ABF">
        <w:rPr>
          <w:rFonts w:ascii="Arial" w:eastAsia="Times New Roman" w:hAnsi="Arial" w:cs="Arial"/>
          <w:sz w:val="24"/>
          <w:szCs w:val="24"/>
          <w:lang w:eastAsia="zh-CN"/>
        </w:rPr>
        <w:lastRenderedPageBreak/>
        <w:t>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lastRenderedPageBreak/>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w:t>
      </w:r>
      <w:r w:rsidRPr="002059E0">
        <w:rPr>
          <w:rFonts w:ascii="Arial" w:eastAsia="Times New Roman" w:hAnsi="Arial" w:cs="Arial"/>
          <w:color w:val="000000"/>
          <w:sz w:val="24"/>
          <w:szCs w:val="24"/>
          <w:lang w:eastAsia="pt-BR"/>
        </w:rPr>
        <w:lastRenderedPageBreak/>
        <w:t>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FA03ADC"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17E88491"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lastRenderedPageBreak/>
        <w:t xml:space="preserve">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w:t>
      </w:r>
      <w:r w:rsidR="00CB6338">
        <w:rPr>
          <w:rFonts w:ascii="Arial" w:eastAsia="Times New Roman" w:hAnsi="Arial" w:cs="Arial"/>
          <w:sz w:val="24"/>
          <w:szCs w:val="24"/>
          <w:lang w:eastAsia="zh-CN"/>
        </w:rPr>
        <w:lastRenderedPageBreak/>
        <w:t>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lastRenderedPageBreak/>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w:t>
      </w:r>
      <w:r w:rsidRPr="00555BB2">
        <w:rPr>
          <w:rFonts w:ascii="Arial" w:eastAsia="Times New Roman" w:hAnsi="Arial" w:cs="Arial"/>
          <w:sz w:val="24"/>
          <w:szCs w:val="24"/>
          <w:lang w:eastAsia="zh-CN"/>
        </w:rPr>
        <w:lastRenderedPageBreak/>
        <w:t xml:space="preserve">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C77FC66" w14:textId="67F76C09"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12C8016F"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056E951C" w14:textId="77777777"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521AC5D2" w14:textId="4847CC1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5D35AD35"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44EC2">
        <w:rPr>
          <w:rFonts w:ascii="Arial" w:eastAsia="HG Mincho Light J" w:hAnsi="Arial" w:cs="Arial"/>
          <w:color w:val="000000"/>
          <w:kern w:val="1"/>
          <w:sz w:val="24"/>
          <w:szCs w:val="24"/>
          <w:lang w:eastAsia="zh-CN" w:bidi="pt-BR"/>
        </w:rPr>
        <w:t>17</w:t>
      </w:r>
      <w:r w:rsidRPr="002E6ABF">
        <w:rPr>
          <w:rFonts w:ascii="Arial" w:eastAsia="HG Mincho Light J" w:hAnsi="Arial" w:cs="Arial"/>
          <w:color w:val="000000"/>
          <w:kern w:val="1"/>
          <w:sz w:val="24"/>
          <w:szCs w:val="24"/>
          <w:lang w:eastAsia="zh-CN" w:bidi="pt-BR"/>
        </w:rPr>
        <w:t xml:space="preserve"> de </w:t>
      </w:r>
      <w:r w:rsidR="00163350">
        <w:rPr>
          <w:rFonts w:ascii="Arial" w:eastAsia="HG Mincho Light J" w:hAnsi="Arial" w:cs="Arial"/>
          <w:color w:val="000000"/>
          <w:kern w:val="1"/>
          <w:sz w:val="24"/>
          <w:szCs w:val="24"/>
          <w:lang w:eastAsia="zh-CN" w:bidi="pt-BR"/>
        </w:rPr>
        <w:t>janeiro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62AD661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E0B02A6" w14:textId="5771514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48DD40" w14:textId="535CB7C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702BA0A" w14:textId="2EA7D15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7161FC3" w14:textId="26CD680A"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1D0633" w14:textId="41839FB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9299AC" w14:textId="201E612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882172B" w14:textId="41BFAC1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3964D6" w14:textId="7496AA2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309929F" w14:textId="314AC77D"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1CD3C534" w14:textId="0341179D"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73338C97" w14:textId="1BA583A8"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37B885BF" w14:textId="3CEFAF54"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5225F32B" w14:textId="14EEA7AB"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22A305F1" w14:textId="77777777"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74410ED1" w:rsidR="00C03CBB" w:rsidRPr="00C03CBB" w:rsidRDefault="007C6FA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09</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0FBCCE86" w:rsidR="00C03CBB" w:rsidRPr="00C03CBB" w:rsidRDefault="007C6FA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09</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1770D3B6" w:rsidR="00C03CBB" w:rsidRPr="00C03CBB" w:rsidRDefault="007C6FA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09</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15AF6E30"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B56E20">
        <w:rPr>
          <w:rFonts w:ascii="Arial" w:eastAsia="Times New Roman" w:hAnsi="Arial" w:cs="Arial"/>
          <w:color w:val="000000"/>
          <w:sz w:val="24"/>
          <w:szCs w:val="24"/>
          <w:lang w:eastAsia="pt-BR"/>
        </w:rPr>
        <w:t xml:space="preserve">Contratação </w:t>
      </w:r>
      <w:r w:rsidR="00B56E20" w:rsidRPr="00B56E20">
        <w:rPr>
          <w:rFonts w:ascii="Arial" w:eastAsia="Times New Roman" w:hAnsi="Arial" w:cs="Arial"/>
          <w:color w:val="000000"/>
          <w:sz w:val="24"/>
          <w:szCs w:val="24"/>
          <w:lang w:eastAsia="pt-BR"/>
        </w:rPr>
        <w:t xml:space="preserve">exclusiva de ME, EPP ou Equiparadas para o fornecimento estimado de 120 (cento e vinte) galões com cinco litros de limpador perfumado </w:t>
      </w:r>
      <w:proofErr w:type="spellStart"/>
      <w:r w:rsidR="00B56E20" w:rsidRPr="00B56E20">
        <w:rPr>
          <w:rFonts w:ascii="Arial" w:eastAsia="Times New Roman" w:hAnsi="Arial" w:cs="Arial"/>
          <w:color w:val="000000"/>
          <w:sz w:val="24"/>
          <w:szCs w:val="24"/>
          <w:lang w:eastAsia="pt-BR"/>
        </w:rPr>
        <w:t>diluível</w:t>
      </w:r>
      <w:proofErr w:type="spellEnd"/>
      <w:r w:rsidR="00B56E20" w:rsidRPr="00B56E20">
        <w:rPr>
          <w:rFonts w:ascii="Arial" w:eastAsia="Times New Roman" w:hAnsi="Arial" w:cs="Arial"/>
          <w:color w:val="000000"/>
          <w:sz w:val="24"/>
          <w:szCs w:val="24"/>
          <w:lang w:eastAsia="pt-BR"/>
        </w:rPr>
        <w:t xml:space="preserve"> para pisos, com componente ativo </w:t>
      </w:r>
      <w:proofErr w:type="spellStart"/>
      <w:r w:rsidR="00B56E20" w:rsidRPr="00B56E20">
        <w:rPr>
          <w:rFonts w:ascii="Arial" w:eastAsia="Times New Roman" w:hAnsi="Arial" w:cs="Arial"/>
          <w:color w:val="000000"/>
          <w:sz w:val="24"/>
          <w:szCs w:val="24"/>
          <w:lang w:eastAsia="pt-BR"/>
        </w:rPr>
        <w:t>nonil</w:t>
      </w:r>
      <w:proofErr w:type="spellEnd"/>
      <w:r w:rsidR="00B56E20" w:rsidRPr="00B56E20">
        <w:rPr>
          <w:rFonts w:ascii="Arial" w:eastAsia="Times New Roman" w:hAnsi="Arial" w:cs="Arial"/>
          <w:color w:val="000000"/>
          <w:sz w:val="24"/>
          <w:szCs w:val="24"/>
          <w:lang w:eastAsia="pt-BR"/>
        </w:rPr>
        <w:t xml:space="preserve"> fenol </w:t>
      </w:r>
      <w:proofErr w:type="spellStart"/>
      <w:r w:rsidR="00B56E20" w:rsidRPr="00B56E20">
        <w:rPr>
          <w:rFonts w:ascii="Arial" w:eastAsia="Times New Roman" w:hAnsi="Arial" w:cs="Arial"/>
          <w:color w:val="000000"/>
          <w:sz w:val="24"/>
          <w:szCs w:val="24"/>
          <w:lang w:eastAsia="pt-BR"/>
        </w:rPr>
        <w:t>etoxilado</w:t>
      </w:r>
      <w:proofErr w:type="spellEnd"/>
      <w:r w:rsidR="00B56E20" w:rsidRPr="00B56E20">
        <w:rPr>
          <w:rFonts w:ascii="Arial" w:eastAsia="Times New Roman" w:hAnsi="Arial" w:cs="Arial"/>
          <w:color w:val="000000"/>
          <w:sz w:val="24"/>
          <w:szCs w:val="24"/>
          <w:lang w:eastAsia="pt-BR"/>
        </w:rPr>
        <w:t xml:space="preserve"> com 9,5 moles de óxido de eteno, de forma parcelada, mediante requisição.</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1" w:name="_Hlk80865990"/>
      <w:r w:rsidR="004B3E29">
        <w:rPr>
          <w:rFonts w:ascii="Arial" w:eastAsia="Times New Roman" w:hAnsi="Arial" w:cs="Arial"/>
          <w:color w:val="000000"/>
          <w:sz w:val="24"/>
          <w:szCs w:val="24"/>
          <w:lang w:eastAsia="pt-BR"/>
        </w:rPr>
        <w:t>para essa licitação.</w:t>
      </w:r>
    </w:p>
    <w:bookmarkEnd w:id="1"/>
    <w:p w14:paraId="5CE5300E" w14:textId="17D24C2A" w:rsidR="00C03CBB" w:rsidRPr="00C03CBB" w:rsidRDefault="00524DAB"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A aquisição visa à promoção da limpeza e higienização nas dependências da Câmara Municipal de Extrema e da Casa do Cidadão</w:t>
      </w:r>
      <w:r>
        <w:rPr>
          <w:rFonts w:ascii="Arial" w:eastAsia="Times New Roman" w:hAnsi="Arial" w:cs="Arial"/>
          <w:color w:val="000000"/>
          <w:sz w:val="24"/>
          <w:szCs w:val="24"/>
          <w:lang w:eastAsia="pt-BR"/>
        </w:rPr>
        <w:t xml:space="preserve">. </w:t>
      </w:r>
      <w:r w:rsidR="00C03CBB"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Pr="00C03CBB">
        <w:rPr>
          <w:rFonts w:ascii="Arial" w:eastAsia="Times New Roman" w:hAnsi="Arial" w:cs="Arial"/>
          <w:color w:val="000000"/>
          <w:sz w:val="24"/>
          <w:szCs w:val="24"/>
          <w:lang w:eastAsia="pt-BR"/>
        </w:rPr>
        <w:t>objeto</w:t>
      </w:r>
      <w:r w:rsidR="00C03CBB" w:rsidRPr="00C03CBB">
        <w:rPr>
          <w:rFonts w:ascii="Arial" w:eastAsia="Times New Roman" w:hAnsi="Arial" w:cs="Arial"/>
          <w:color w:val="000000"/>
          <w:sz w:val="24"/>
          <w:szCs w:val="24"/>
          <w:lang w:eastAsia="pt-BR"/>
        </w:rPr>
        <w:t xml:space="preserve">.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w:t>
      </w:r>
      <w:r w:rsidRPr="00524DAB">
        <w:rPr>
          <w:rFonts w:ascii="Arial" w:eastAsia="Times New Roman" w:hAnsi="Arial" w:cs="Arial"/>
          <w:sz w:val="24"/>
          <w:szCs w:val="24"/>
          <w:lang w:eastAsia="pt-BR"/>
        </w:rPr>
        <w:lastRenderedPageBreak/>
        <w:t xml:space="preserve">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C95352"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 xml:space="preserve">regularidade para com o FGTS – Fundo de Garantia de Tempo </w:t>
      </w:r>
      <w:r w:rsidRPr="00C03CBB">
        <w:rPr>
          <w:rFonts w:ascii="Arial" w:eastAsia="Times New Roman" w:hAnsi="Arial" w:cs="Arial"/>
          <w:color w:val="000000"/>
          <w:sz w:val="24"/>
          <w:szCs w:val="24"/>
          <w:lang w:eastAsia="zh-CN"/>
        </w:rPr>
        <w:lastRenderedPageBreak/>
        <w:t>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F4F7787" w14:textId="77777777" w:rsidR="007C6FA6" w:rsidRPr="007C6FA6" w:rsidRDefault="007C6FA6" w:rsidP="007C6FA6">
      <w:pPr>
        <w:widowControl w:val="0"/>
        <w:suppressAutoHyphens/>
        <w:spacing w:after="0" w:line="240" w:lineRule="auto"/>
        <w:jc w:val="both"/>
        <w:rPr>
          <w:rFonts w:ascii="Arial" w:eastAsia="Times New Roman" w:hAnsi="Arial" w:cs="Arial"/>
          <w:sz w:val="24"/>
          <w:szCs w:val="24"/>
          <w:lang w:eastAsia="zh-CN"/>
        </w:rPr>
      </w:pPr>
    </w:p>
    <w:p w14:paraId="42637B1F" w14:textId="08CD88B7" w:rsidR="005B2260" w:rsidRPr="005B2260" w:rsidRDefault="005B2260" w:rsidP="007D7346">
      <w:pPr>
        <w:widowControl w:val="0"/>
        <w:numPr>
          <w:ilvl w:val="0"/>
          <w:numId w:val="26"/>
        </w:numPr>
        <w:suppressAutoHyphens/>
        <w:spacing w:after="0" w:line="240" w:lineRule="auto"/>
        <w:jc w:val="both"/>
        <w:rPr>
          <w:rFonts w:ascii="Arial" w:eastAsia="Times New Roman" w:hAnsi="Arial" w:cs="Arial"/>
          <w:sz w:val="24"/>
          <w:szCs w:val="24"/>
          <w:lang w:eastAsia="zh-CN"/>
        </w:rPr>
      </w:pPr>
      <w:r w:rsidRPr="005B2260">
        <w:rPr>
          <w:rFonts w:ascii="Arial" w:eastAsia="Times New Roman" w:hAnsi="Arial" w:cs="Arial"/>
          <w:sz w:val="24"/>
          <w:szCs w:val="24"/>
          <w:lang w:eastAsia="zh-CN"/>
        </w:rPr>
        <w:t xml:space="preserve">Prova </w:t>
      </w:r>
      <w:proofErr w:type="spellStart"/>
      <w:r w:rsidRPr="005B2260">
        <w:rPr>
          <w:rFonts w:ascii="Arial" w:eastAsia="Times New Roman" w:hAnsi="Arial" w:cs="Arial"/>
          <w:sz w:val="24"/>
          <w:szCs w:val="24"/>
          <w:lang w:eastAsia="zh-CN"/>
        </w:rPr>
        <w:t>Prova</w:t>
      </w:r>
      <w:proofErr w:type="spellEnd"/>
      <w:r w:rsidRPr="005B2260">
        <w:rPr>
          <w:rFonts w:ascii="Arial" w:eastAsia="Times New Roman" w:hAnsi="Arial" w:cs="Arial"/>
          <w:sz w:val="24"/>
          <w:szCs w:val="24"/>
          <w:lang w:eastAsia="zh-CN"/>
        </w:rPr>
        <w:t xml:space="preserve"> de Autorização de Funcionamento (AFE) (1) concedida pela Anvisa.  A Prova de Autorização de Funcionamento (AFE) somente será exigida da licitante que vier a concorrer para os itens nos quais se aplica. </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lastRenderedPageBreak/>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7C6B3E53"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D458C4" w:rsidRPr="00D458C4">
        <w:rPr>
          <w:rFonts w:ascii="Arial" w:eastAsia="Times New Roman" w:hAnsi="Arial" w:cs="Arial"/>
          <w:sz w:val="24"/>
          <w:szCs w:val="24"/>
          <w:lang w:eastAsia="pt-BR"/>
        </w:rPr>
        <w:t xml:space="preserve">R$ </w:t>
      </w:r>
      <w:r w:rsidR="007C6FA6">
        <w:rPr>
          <w:rFonts w:ascii="Arial" w:eastAsia="Times New Roman" w:hAnsi="Arial" w:cs="Arial"/>
          <w:sz w:val="24"/>
          <w:szCs w:val="24"/>
          <w:lang w:eastAsia="pt-BR"/>
        </w:rPr>
        <w:t>7.800,00</w:t>
      </w:r>
      <w:r w:rsidR="00D458C4" w:rsidRPr="00D458C4">
        <w:rPr>
          <w:rFonts w:ascii="Arial" w:eastAsia="Times New Roman" w:hAnsi="Arial" w:cs="Arial"/>
          <w:sz w:val="24"/>
          <w:szCs w:val="24"/>
          <w:lang w:eastAsia="pt-BR"/>
        </w:rPr>
        <w:t xml:space="preserve"> </w:t>
      </w:r>
      <w:r w:rsidRPr="00C03CBB">
        <w:rPr>
          <w:rFonts w:ascii="Arial" w:eastAsia="Times New Roman" w:hAnsi="Arial" w:cs="Arial"/>
          <w:sz w:val="24"/>
          <w:szCs w:val="24"/>
          <w:lang w:eastAsia="pt-BR"/>
        </w:rPr>
        <w:t>(</w:t>
      </w:r>
      <w:r w:rsidR="007C6FA6">
        <w:rPr>
          <w:rFonts w:ascii="Arial" w:eastAsia="Times New Roman" w:hAnsi="Arial" w:cs="Arial"/>
          <w:sz w:val="24"/>
          <w:szCs w:val="24"/>
          <w:lang w:eastAsia="pt-BR"/>
        </w:rPr>
        <w:t>sete mil e oitocentos reais</w:t>
      </w:r>
      <w:r w:rsidR="002370BB">
        <w:rPr>
          <w:rFonts w:ascii="Arial" w:eastAsia="Times New Roman" w:hAnsi="Arial" w:cs="Arial"/>
          <w:sz w:val="24"/>
          <w:szCs w:val="24"/>
          <w:lang w:eastAsia="pt-BR"/>
        </w:rPr>
        <w:t>).</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915C8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 xml:space="preserve">A quantidade é estimada de consumo até 31 de dezembro de 2022,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 xml:space="preserve">Assumir também a responsabilidade por todas as providências e obrigações estabelecidas na legislação específica de acidentes do trabalho, quando em ocorrência da espécie, forem vítimas os seus técnicos no desempenho dos </w:t>
      </w:r>
      <w:r w:rsidRPr="00EB549C">
        <w:rPr>
          <w:rFonts w:ascii="Arial" w:eastAsia="Times New Roman" w:hAnsi="Arial" w:cs="Arial"/>
          <w:color w:val="000000"/>
          <w:sz w:val="24"/>
          <w:szCs w:val="24"/>
          <w:lang w:eastAsia="pt-BR"/>
        </w:rPr>
        <w:lastRenderedPageBreak/>
        <w:t>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77777777"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lastRenderedPageBreak/>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7945902D"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Pelo descumprimento das condições estabelecidas no ajuste, a </w:t>
      </w:r>
      <w:r w:rsidRPr="00C03CBB">
        <w:rPr>
          <w:rFonts w:ascii="Arial" w:eastAsia="Times New Roman" w:hAnsi="Arial" w:cs="Arial"/>
          <w:sz w:val="24"/>
          <w:szCs w:val="24"/>
          <w:lang w:eastAsia="zh-CN"/>
        </w:rPr>
        <w:lastRenderedPageBreak/>
        <w:t>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autoridade competente para determinar a contratação poderá revogar a licitação por razões de interesse público superveniente, devendo invalidá-la </w:t>
      </w:r>
      <w:r w:rsidRPr="00C03CBB">
        <w:rPr>
          <w:rFonts w:ascii="Arial" w:eastAsia="Times New Roman" w:hAnsi="Arial" w:cs="Arial"/>
          <w:sz w:val="24"/>
          <w:szCs w:val="24"/>
          <w:lang w:eastAsia="zh-CN"/>
        </w:rPr>
        <w:lastRenderedPageBreak/>
        <w:t>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507BBF91" w14:textId="686518C9" w:rsidR="002370BB" w:rsidRDefault="002370BB" w:rsidP="00675B45">
      <w:pPr>
        <w:spacing w:after="0" w:line="240" w:lineRule="auto"/>
        <w:jc w:val="both"/>
        <w:rPr>
          <w:rFonts w:ascii="Arial" w:eastAsia="Calibri" w:hAnsi="Arial" w:cs="Arial"/>
          <w:b/>
          <w:sz w:val="24"/>
          <w:szCs w:val="24"/>
          <w:lang w:eastAsia="pt-BR"/>
        </w:rPr>
      </w:pPr>
    </w:p>
    <w:p w14:paraId="0974C6BE" w14:textId="5FF913D4" w:rsidR="00666E04" w:rsidRDefault="00666E04" w:rsidP="00675B45">
      <w:pPr>
        <w:spacing w:after="0" w:line="240" w:lineRule="auto"/>
        <w:jc w:val="both"/>
        <w:rPr>
          <w:rFonts w:ascii="Arial" w:eastAsia="Calibri" w:hAnsi="Arial" w:cs="Arial"/>
          <w:b/>
          <w:sz w:val="24"/>
          <w:szCs w:val="24"/>
          <w:lang w:eastAsia="pt-BR"/>
        </w:rPr>
      </w:pPr>
    </w:p>
    <w:p w14:paraId="717A9DAE" w14:textId="08000B1C" w:rsidR="00666E04" w:rsidRDefault="00666E04" w:rsidP="00675B45">
      <w:pPr>
        <w:spacing w:after="0" w:line="240" w:lineRule="auto"/>
        <w:jc w:val="both"/>
        <w:rPr>
          <w:rFonts w:ascii="Arial" w:eastAsia="Calibri" w:hAnsi="Arial" w:cs="Arial"/>
          <w:b/>
          <w:sz w:val="24"/>
          <w:szCs w:val="24"/>
          <w:lang w:eastAsia="pt-BR"/>
        </w:rPr>
      </w:pPr>
    </w:p>
    <w:p w14:paraId="04B6DE0F" w14:textId="7671915B" w:rsidR="00666E04" w:rsidRDefault="00666E04" w:rsidP="00675B45">
      <w:pPr>
        <w:spacing w:after="0" w:line="240" w:lineRule="auto"/>
        <w:jc w:val="both"/>
        <w:rPr>
          <w:rFonts w:ascii="Arial" w:eastAsia="Calibri" w:hAnsi="Arial" w:cs="Arial"/>
          <w:b/>
          <w:sz w:val="24"/>
          <w:szCs w:val="24"/>
          <w:lang w:eastAsia="pt-BR"/>
        </w:rPr>
      </w:pPr>
    </w:p>
    <w:p w14:paraId="7DE23AD4" w14:textId="6AF7D112" w:rsidR="00666E04" w:rsidRDefault="00666E04" w:rsidP="00675B45">
      <w:pPr>
        <w:spacing w:after="0" w:line="240" w:lineRule="auto"/>
        <w:jc w:val="both"/>
        <w:rPr>
          <w:rFonts w:ascii="Arial" w:eastAsia="Calibri" w:hAnsi="Arial" w:cs="Arial"/>
          <w:b/>
          <w:sz w:val="24"/>
          <w:szCs w:val="24"/>
          <w:lang w:eastAsia="pt-BR"/>
        </w:rPr>
      </w:pPr>
    </w:p>
    <w:p w14:paraId="7027C8D3" w14:textId="77777777" w:rsidR="00666E04" w:rsidRDefault="00666E04" w:rsidP="00666E04">
      <w:pPr>
        <w:spacing w:after="200" w:line="276" w:lineRule="auto"/>
        <w:jc w:val="both"/>
        <w:rPr>
          <w:rFonts w:ascii="Arial" w:eastAsia="Times New Roman"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Orçamento detalhado estimado em planilha com preço unitário e valor global:</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423"/>
        <w:gridCol w:w="1242"/>
        <w:gridCol w:w="1394"/>
        <w:gridCol w:w="1300"/>
        <w:gridCol w:w="1567"/>
      </w:tblGrid>
      <w:tr w:rsidR="00B56E20" w:rsidRPr="00F62C29" w14:paraId="77207323" w14:textId="77777777" w:rsidTr="00B56E20">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6FB69DD6" w14:textId="77777777" w:rsidR="00B56E20" w:rsidRPr="00F62C29" w:rsidRDefault="00B56E20"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3423" w:type="dxa"/>
            <w:tcBorders>
              <w:top w:val="single" w:sz="4" w:space="0" w:color="auto"/>
              <w:left w:val="single" w:sz="4" w:space="0" w:color="auto"/>
              <w:bottom w:val="single" w:sz="4" w:space="0" w:color="auto"/>
              <w:right w:val="single" w:sz="4" w:space="0" w:color="auto"/>
            </w:tcBorders>
            <w:vAlign w:val="center"/>
          </w:tcPr>
          <w:p w14:paraId="4BD20DAF" w14:textId="77777777" w:rsidR="00B56E20" w:rsidRPr="00F62C29" w:rsidRDefault="00B56E20" w:rsidP="00F609E5">
            <w:pPr>
              <w:pStyle w:val="Ttulo6"/>
              <w:framePr w:hSpace="0" w:wrap="auto" w:vAnchor="margin" w:hAnchor="text" w:xAlign="left" w:yAlign="inline"/>
              <w:ind w:right="73"/>
              <w:contextualSpacing/>
              <w:rPr>
                <w:sz w:val="24"/>
                <w:szCs w:val="24"/>
              </w:rPr>
            </w:pPr>
            <w:r w:rsidRPr="00F62C29">
              <w:rPr>
                <w:sz w:val="24"/>
                <w:szCs w:val="24"/>
              </w:rPr>
              <w:t>DESCRIÇÃO</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463CA04" w14:textId="77777777" w:rsidR="00B56E20" w:rsidRPr="00F62C29" w:rsidRDefault="00B56E20"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394" w:type="dxa"/>
            <w:tcBorders>
              <w:top w:val="single" w:sz="4" w:space="0" w:color="auto"/>
              <w:left w:val="single" w:sz="4" w:space="0" w:color="auto"/>
              <w:bottom w:val="single" w:sz="4" w:space="0" w:color="auto"/>
              <w:right w:val="single" w:sz="4" w:space="0" w:color="auto"/>
            </w:tcBorders>
            <w:vAlign w:val="center"/>
          </w:tcPr>
          <w:p w14:paraId="1349D452"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1263119A"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300" w:type="dxa"/>
            <w:tcBorders>
              <w:top w:val="single" w:sz="4" w:space="0" w:color="auto"/>
              <w:left w:val="single" w:sz="4" w:space="0" w:color="auto"/>
              <w:bottom w:val="single" w:sz="4" w:space="0" w:color="auto"/>
              <w:right w:val="single" w:sz="4" w:space="0" w:color="auto"/>
            </w:tcBorders>
            <w:vAlign w:val="center"/>
          </w:tcPr>
          <w:p w14:paraId="13D159C3"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616D5C96"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567" w:type="dxa"/>
            <w:tcBorders>
              <w:top w:val="single" w:sz="4" w:space="0" w:color="auto"/>
              <w:left w:val="single" w:sz="4" w:space="0" w:color="auto"/>
              <w:bottom w:val="single" w:sz="4" w:space="0" w:color="auto"/>
              <w:right w:val="single" w:sz="4" w:space="0" w:color="auto"/>
            </w:tcBorders>
            <w:vAlign w:val="center"/>
          </w:tcPr>
          <w:p w14:paraId="3B85E306"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1A6332AD"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GLOBAL</w:t>
            </w:r>
          </w:p>
          <w:p w14:paraId="6A9BD3FD"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ESTIMADO</w:t>
            </w:r>
          </w:p>
        </w:tc>
      </w:tr>
      <w:tr w:rsidR="00B56E20" w:rsidRPr="00F62C29" w14:paraId="0E5327EB" w14:textId="77777777" w:rsidTr="00B56E20">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2EE0AF0" w14:textId="77777777" w:rsidR="00B56E20" w:rsidRPr="00F62C29" w:rsidRDefault="00B56E20" w:rsidP="00F609E5">
            <w:pPr>
              <w:spacing w:after="0" w:line="240" w:lineRule="auto"/>
              <w:ind w:right="-64"/>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01</w:t>
            </w:r>
          </w:p>
        </w:tc>
        <w:tc>
          <w:tcPr>
            <w:tcW w:w="3423" w:type="dxa"/>
            <w:tcBorders>
              <w:top w:val="single" w:sz="4" w:space="0" w:color="auto"/>
              <w:left w:val="single" w:sz="4" w:space="0" w:color="auto"/>
              <w:bottom w:val="single" w:sz="4" w:space="0" w:color="auto"/>
              <w:right w:val="single" w:sz="4" w:space="0" w:color="auto"/>
            </w:tcBorders>
          </w:tcPr>
          <w:p w14:paraId="71267186" w14:textId="77777777" w:rsidR="00B56E20" w:rsidRPr="00F62C29" w:rsidRDefault="00B56E20" w:rsidP="00F609E5">
            <w:pPr>
              <w:spacing w:after="0" w:line="240" w:lineRule="auto"/>
              <w:ind w:right="73"/>
              <w:contextualSpacing/>
              <w:jc w:val="both"/>
              <w:rPr>
                <w:rFonts w:ascii="Arial" w:eastAsia="Times New Roman" w:hAnsi="Arial" w:cs="Arial"/>
                <w:color w:val="000000"/>
                <w:sz w:val="24"/>
                <w:szCs w:val="24"/>
              </w:rPr>
            </w:pPr>
            <w:r w:rsidRPr="00F62C29">
              <w:rPr>
                <w:rFonts w:ascii="Arial" w:eastAsia="Times New Roman" w:hAnsi="Arial" w:cs="Arial"/>
                <w:color w:val="000000"/>
                <w:sz w:val="24"/>
                <w:szCs w:val="24"/>
              </w:rPr>
              <w:t xml:space="preserve">Limpador perfumado </w:t>
            </w:r>
            <w:proofErr w:type="spellStart"/>
            <w:r w:rsidRPr="00F62C29">
              <w:rPr>
                <w:rFonts w:ascii="Arial" w:eastAsia="Times New Roman" w:hAnsi="Arial" w:cs="Arial"/>
                <w:color w:val="000000"/>
                <w:sz w:val="24"/>
                <w:szCs w:val="24"/>
              </w:rPr>
              <w:t>diluível</w:t>
            </w:r>
            <w:proofErr w:type="spellEnd"/>
            <w:r w:rsidRPr="00F62C29">
              <w:rPr>
                <w:rFonts w:ascii="Arial" w:eastAsia="Times New Roman" w:hAnsi="Arial" w:cs="Arial"/>
                <w:color w:val="000000"/>
                <w:sz w:val="24"/>
                <w:szCs w:val="24"/>
              </w:rPr>
              <w:t xml:space="preserve"> para pisos, com componente ativo </w:t>
            </w:r>
            <w:proofErr w:type="spellStart"/>
            <w:r w:rsidRPr="00F62C29">
              <w:rPr>
                <w:rFonts w:ascii="Arial" w:eastAsia="Times New Roman" w:hAnsi="Arial" w:cs="Arial"/>
                <w:color w:val="000000"/>
                <w:sz w:val="24"/>
                <w:szCs w:val="24"/>
              </w:rPr>
              <w:t>nonil</w:t>
            </w:r>
            <w:proofErr w:type="spellEnd"/>
            <w:r w:rsidRPr="00F62C29">
              <w:rPr>
                <w:rFonts w:ascii="Arial" w:eastAsia="Times New Roman" w:hAnsi="Arial" w:cs="Arial"/>
                <w:color w:val="000000"/>
                <w:sz w:val="24"/>
                <w:szCs w:val="24"/>
              </w:rPr>
              <w:t xml:space="preserve"> fenol </w:t>
            </w:r>
            <w:proofErr w:type="spellStart"/>
            <w:r w:rsidRPr="00F62C29">
              <w:rPr>
                <w:rFonts w:ascii="Arial" w:eastAsia="Times New Roman" w:hAnsi="Arial" w:cs="Arial"/>
                <w:color w:val="000000"/>
                <w:sz w:val="24"/>
                <w:szCs w:val="24"/>
              </w:rPr>
              <w:t>etoxilado</w:t>
            </w:r>
            <w:proofErr w:type="spellEnd"/>
            <w:r w:rsidRPr="00F62C29">
              <w:rPr>
                <w:rFonts w:ascii="Arial" w:eastAsia="Times New Roman" w:hAnsi="Arial" w:cs="Arial"/>
                <w:color w:val="000000"/>
                <w:sz w:val="24"/>
                <w:szCs w:val="24"/>
              </w:rPr>
              <w:t xml:space="preserve"> com 9,5 moles de óxido de eteno.</w:t>
            </w:r>
          </w:p>
        </w:tc>
        <w:tc>
          <w:tcPr>
            <w:tcW w:w="1242" w:type="dxa"/>
            <w:tcBorders>
              <w:top w:val="single" w:sz="4" w:space="0" w:color="auto"/>
              <w:left w:val="single" w:sz="4" w:space="0" w:color="auto"/>
              <w:bottom w:val="single" w:sz="4" w:space="0" w:color="auto"/>
              <w:right w:val="single" w:sz="4" w:space="0" w:color="auto"/>
            </w:tcBorders>
          </w:tcPr>
          <w:p w14:paraId="6ADE27CD" w14:textId="77777777" w:rsidR="00B56E20" w:rsidRPr="00F62C29" w:rsidRDefault="00B56E20"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Galão com</w:t>
            </w:r>
          </w:p>
          <w:p w14:paraId="67A9C2B4" w14:textId="77777777" w:rsidR="00B56E20" w:rsidRPr="00F62C29" w:rsidRDefault="00B56E20"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05 litros</w:t>
            </w:r>
          </w:p>
        </w:tc>
        <w:tc>
          <w:tcPr>
            <w:tcW w:w="1394" w:type="dxa"/>
            <w:tcBorders>
              <w:top w:val="single" w:sz="4" w:space="0" w:color="auto"/>
              <w:left w:val="single" w:sz="4" w:space="0" w:color="auto"/>
              <w:bottom w:val="single" w:sz="4" w:space="0" w:color="auto"/>
              <w:right w:val="single" w:sz="4" w:space="0" w:color="auto"/>
            </w:tcBorders>
          </w:tcPr>
          <w:p w14:paraId="769F6E7F" w14:textId="77777777" w:rsidR="00B56E20" w:rsidRPr="00F62C29" w:rsidRDefault="00B56E20"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120</w:t>
            </w:r>
          </w:p>
        </w:tc>
        <w:tc>
          <w:tcPr>
            <w:tcW w:w="1300" w:type="dxa"/>
            <w:tcBorders>
              <w:top w:val="single" w:sz="4" w:space="0" w:color="auto"/>
              <w:left w:val="single" w:sz="4" w:space="0" w:color="auto"/>
              <w:bottom w:val="single" w:sz="4" w:space="0" w:color="auto"/>
              <w:right w:val="single" w:sz="4" w:space="0" w:color="auto"/>
            </w:tcBorders>
          </w:tcPr>
          <w:p w14:paraId="3C9C737E" w14:textId="77777777" w:rsidR="00B56E20" w:rsidRPr="00F62C29" w:rsidRDefault="00B56E20" w:rsidP="00F609E5">
            <w:pPr>
              <w:spacing w:after="0" w:line="240" w:lineRule="auto"/>
              <w:contextualSpacing/>
              <w:jc w:val="center"/>
              <w:rPr>
                <w:rFonts w:ascii="Arial" w:eastAsia="Times New Roman" w:hAnsi="Arial" w:cs="Arial"/>
                <w:color w:val="000000"/>
                <w:sz w:val="24"/>
                <w:szCs w:val="24"/>
              </w:rPr>
            </w:pPr>
            <w:r w:rsidRPr="00F62C29">
              <w:rPr>
                <w:rFonts w:ascii="Arial" w:hAnsi="Arial" w:cs="Arial"/>
                <w:color w:val="000000"/>
                <w:sz w:val="24"/>
                <w:szCs w:val="24"/>
              </w:rPr>
              <w:t xml:space="preserve">R$ </w:t>
            </w:r>
            <w:r>
              <w:rPr>
                <w:rFonts w:ascii="Arial" w:hAnsi="Arial" w:cs="Arial"/>
                <w:color w:val="000000"/>
                <w:sz w:val="24"/>
                <w:szCs w:val="24"/>
              </w:rPr>
              <w:t>65</w:t>
            </w:r>
            <w:r w:rsidRPr="00F62C29">
              <w:rPr>
                <w:rFonts w:ascii="Arial" w:hAnsi="Arial" w:cs="Arial"/>
                <w:color w:val="000000"/>
                <w:sz w:val="24"/>
                <w:szCs w:val="24"/>
              </w:rPr>
              <w:t>,</w:t>
            </w:r>
            <w:r>
              <w:rPr>
                <w:rFonts w:ascii="Arial" w:hAnsi="Arial" w:cs="Arial"/>
                <w:color w:val="000000"/>
                <w:sz w:val="24"/>
                <w:szCs w:val="24"/>
              </w:rPr>
              <w:t>0</w:t>
            </w:r>
            <w:r w:rsidRPr="00F62C29">
              <w:rPr>
                <w:rFonts w:ascii="Arial" w:hAnsi="Arial" w:cs="Arial"/>
                <w:color w:val="000000"/>
                <w:sz w:val="24"/>
                <w:szCs w:val="24"/>
              </w:rPr>
              <w:t>0</w:t>
            </w:r>
          </w:p>
        </w:tc>
        <w:tc>
          <w:tcPr>
            <w:tcW w:w="1567" w:type="dxa"/>
            <w:tcBorders>
              <w:top w:val="single" w:sz="4" w:space="0" w:color="auto"/>
              <w:left w:val="single" w:sz="4" w:space="0" w:color="auto"/>
              <w:bottom w:val="single" w:sz="4" w:space="0" w:color="auto"/>
              <w:right w:val="single" w:sz="4" w:space="0" w:color="auto"/>
            </w:tcBorders>
          </w:tcPr>
          <w:p w14:paraId="59077653" w14:textId="77777777" w:rsidR="00B56E20" w:rsidRPr="00F62C29" w:rsidRDefault="00B56E20" w:rsidP="00F609E5">
            <w:pPr>
              <w:spacing w:after="0" w:line="240" w:lineRule="auto"/>
              <w:contextualSpacing/>
              <w:jc w:val="center"/>
              <w:rPr>
                <w:rFonts w:ascii="Arial" w:eastAsia="Times New Roman" w:hAnsi="Arial" w:cs="Arial"/>
                <w:color w:val="000000"/>
                <w:sz w:val="24"/>
                <w:szCs w:val="24"/>
              </w:rPr>
            </w:pPr>
            <w:r w:rsidRPr="00F62C29">
              <w:rPr>
                <w:rFonts w:ascii="Arial" w:hAnsi="Arial" w:cs="Arial"/>
                <w:color w:val="000000"/>
                <w:sz w:val="24"/>
                <w:szCs w:val="24"/>
              </w:rPr>
              <w:t xml:space="preserve">R$ </w:t>
            </w:r>
            <w:r>
              <w:rPr>
                <w:rFonts w:ascii="Arial" w:hAnsi="Arial" w:cs="Arial"/>
                <w:color w:val="000000"/>
                <w:sz w:val="24"/>
                <w:szCs w:val="24"/>
              </w:rPr>
              <w:t>7</w:t>
            </w:r>
            <w:r w:rsidRPr="00F62C29">
              <w:rPr>
                <w:rFonts w:ascii="Arial" w:hAnsi="Arial" w:cs="Arial"/>
                <w:color w:val="000000"/>
                <w:sz w:val="24"/>
                <w:szCs w:val="24"/>
              </w:rPr>
              <w:t>.</w:t>
            </w:r>
            <w:r>
              <w:rPr>
                <w:rFonts w:ascii="Arial" w:hAnsi="Arial" w:cs="Arial"/>
                <w:color w:val="000000"/>
                <w:sz w:val="24"/>
                <w:szCs w:val="24"/>
              </w:rPr>
              <w:t>80</w:t>
            </w:r>
            <w:r w:rsidRPr="00F62C29">
              <w:rPr>
                <w:rFonts w:ascii="Arial" w:hAnsi="Arial" w:cs="Arial"/>
                <w:color w:val="000000"/>
                <w:sz w:val="24"/>
                <w:szCs w:val="24"/>
              </w:rPr>
              <w:t>0,00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0555685E"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536666">
        <w:rPr>
          <w:rFonts w:ascii="Arial" w:eastAsia="Calibri" w:hAnsi="Arial" w:cs="Arial"/>
          <w:sz w:val="24"/>
          <w:szCs w:val="24"/>
          <w:lang w:eastAsia="pt-BR"/>
        </w:rPr>
        <w:t>13</w:t>
      </w:r>
      <w:r w:rsidRPr="00C03CBB">
        <w:rPr>
          <w:rFonts w:ascii="Arial" w:eastAsia="Calibri" w:hAnsi="Arial" w:cs="Arial"/>
          <w:sz w:val="24"/>
          <w:szCs w:val="24"/>
          <w:lang w:eastAsia="pt-BR"/>
        </w:rPr>
        <w:t xml:space="preserve"> de </w:t>
      </w:r>
      <w:r w:rsidR="00536666">
        <w:rPr>
          <w:rFonts w:ascii="Arial" w:eastAsia="Calibri" w:hAnsi="Arial" w:cs="Arial"/>
          <w:sz w:val="24"/>
          <w:szCs w:val="24"/>
          <w:lang w:eastAsia="pt-BR"/>
        </w:rPr>
        <w:t>janeiro</w:t>
      </w:r>
      <w:r w:rsidRPr="00C03CBB">
        <w:rPr>
          <w:rFonts w:ascii="Arial" w:eastAsia="Calibri" w:hAnsi="Arial" w:cs="Arial"/>
          <w:sz w:val="24"/>
          <w:szCs w:val="24"/>
          <w:lang w:eastAsia="pt-BR"/>
        </w:rPr>
        <w:t xml:space="preserve"> 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C1E8AB7" w14:textId="2170357B" w:rsidR="00113E60" w:rsidRDefault="00113E60" w:rsidP="00313403">
      <w:pPr>
        <w:spacing w:after="0" w:line="240" w:lineRule="auto"/>
        <w:rPr>
          <w:rFonts w:ascii="Calibri" w:eastAsia="Verdana" w:hAnsi="Calibri" w:cs="Times New Roman"/>
          <w:sz w:val="20"/>
          <w:szCs w:val="20"/>
          <w:lang w:eastAsia="pt-BR"/>
        </w:rPr>
      </w:pPr>
    </w:p>
    <w:p w14:paraId="68C066AE" w14:textId="77777777" w:rsidR="00313403" w:rsidRDefault="00313403" w:rsidP="00313403">
      <w:pPr>
        <w:spacing w:after="0" w:line="240" w:lineRule="auto"/>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423"/>
        <w:gridCol w:w="1242"/>
        <w:gridCol w:w="1394"/>
        <w:gridCol w:w="1145"/>
        <w:gridCol w:w="1300"/>
        <w:gridCol w:w="1567"/>
      </w:tblGrid>
      <w:tr w:rsidR="00B56E20" w:rsidRPr="00F62C29" w14:paraId="306BF4E5" w14:textId="77777777" w:rsidTr="00B56E20">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6E96FE19" w14:textId="77777777" w:rsidR="00B56E20" w:rsidRPr="00F62C29" w:rsidRDefault="00B56E20"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3423" w:type="dxa"/>
            <w:tcBorders>
              <w:top w:val="single" w:sz="4" w:space="0" w:color="auto"/>
              <w:left w:val="single" w:sz="4" w:space="0" w:color="auto"/>
              <w:bottom w:val="single" w:sz="4" w:space="0" w:color="auto"/>
              <w:right w:val="single" w:sz="4" w:space="0" w:color="auto"/>
            </w:tcBorders>
            <w:vAlign w:val="center"/>
          </w:tcPr>
          <w:p w14:paraId="319EF5C6" w14:textId="77777777" w:rsidR="00B56E20" w:rsidRPr="00F62C29" w:rsidRDefault="00B56E20" w:rsidP="00F609E5">
            <w:pPr>
              <w:pStyle w:val="Ttulo6"/>
              <w:framePr w:hSpace="0" w:wrap="auto" w:vAnchor="margin" w:hAnchor="text" w:xAlign="left" w:yAlign="inline"/>
              <w:ind w:right="73"/>
              <w:contextualSpacing/>
              <w:rPr>
                <w:sz w:val="24"/>
                <w:szCs w:val="24"/>
              </w:rPr>
            </w:pPr>
            <w:r w:rsidRPr="00F62C29">
              <w:rPr>
                <w:sz w:val="24"/>
                <w:szCs w:val="24"/>
              </w:rPr>
              <w:t>DESCRIÇÃO</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A478DF6" w14:textId="77777777" w:rsidR="00B56E20" w:rsidRPr="00F62C29" w:rsidRDefault="00B56E20"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394" w:type="dxa"/>
            <w:tcBorders>
              <w:top w:val="single" w:sz="4" w:space="0" w:color="auto"/>
              <w:left w:val="single" w:sz="4" w:space="0" w:color="auto"/>
              <w:bottom w:val="single" w:sz="4" w:space="0" w:color="auto"/>
              <w:right w:val="single" w:sz="4" w:space="0" w:color="auto"/>
            </w:tcBorders>
            <w:vAlign w:val="center"/>
          </w:tcPr>
          <w:p w14:paraId="661DF8D2"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26DF840E"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145" w:type="dxa"/>
            <w:tcBorders>
              <w:top w:val="single" w:sz="4" w:space="0" w:color="auto"/>
              <w:left w:val="single" w:sz="4" w:space="0" w:color="auto"/>
              <w:bottom w:val="single" w:sz="4" w:space="0" w:color="auto"/>
              <w:right w:val="single" w:sz="4" w:space="0" w:color="auto"/>
            </w:tcBorders>
            <w:vAlign w:val="center"/>
          </w:tcPr>
          <w:p w14:paraId="49C5DF2F" w14:textId="7FD75FAD" w:rsidR="00B56E20" w:rsidRPr="00F62C29" w:rsidRDefault="00B56E20" w:rsidP="00F609E5">
            <w:pPr>
              <w:spacing w:after="0" w:line="240" w:lineRule="auto"/>
              <w:contextualSpacing/>
              <w:jc w:val="center"/>
              <w:rPr>
                <w:rFonts w:ascii="Arial" w:hAnsi="Arial" w:cs="Arial"/>
                <w:b/>
                <w:sz w:val="24"/>
                <w:szCs w:val="24"/>
              </w:rPr>
            </w:pPr>
            <w:r>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470FEAE9"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48B3C882"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567" w:type="dxa"/>
            <w:tcBorders>
              <w:top w:val="single" w:sz="4" w:space="0" w:color="auto"/>
              <w:left w:val="single" w:sz="4" w:space="0" w:color="auto"/>
              <w:bottom w:val="single" w:sz="4" w:space="0" w:color="auto"/>
              <w:right w:val="single" w:sz="4" w:space="0" w:color="auto"/>
            </w:tcBorders>
            <w:vAlign w:val="center"/>
          </w:tcPr>
          <w:p w14:paraId="341FF13A"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48761B48"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GLOBAL</w:t>
            </w:r>
          </w:p>
          <w:p w14:paraId="7601717E"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ESTIMADO</w:t>
            </w:r>
          </w:p>
        </w:tc>
      </w:tr>
      <w:tr w:rsidR="00B56E20" w:rsidRPr="00F62C29" w14:paraId="47D17681" w14:textId="77777777" w:rsidTr="00B56E20">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89ED46D" w14:textId="77777777" w:rsidR="00B56E20" w:rsidRPr="00F62C29" w:rsidRDefault="00B56E20" w:rsidP="00F609E5">
            <w:pPr>
              <w:spacing w:after="0" w:line="240" w:lineRule="auto"/>
              <w:ind w:right="-64"/>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01</w:t>
            </w:r>
          </w:p>
        </w:tc>
        <w:tc>
          <w:tcPr>
            <w:tcW w:w="3423" w:type="dxa"/>
            <w:tcBorders>
              <w:top w:val="single" w:sz="4" w:space="0" w:color="auto"/>
              <w:left w:val="single" w:sz="4" w:space="0" w:color="auto"/>
              <w:bottom w:val="single" w:sz="4" w:space="0" w:color="auto"/>
              <w:right w:val="single" w:sz="4" w:space="0" w:color="auto"/>
            </w:tcBorders>
          </w:tcPr>
          <w:p w14:paraId="40482E44" w14:textId="77777777" w:rsidR="00B56E20" w:rsidRPr="00F62C29" w:rsidRDefault="00B56E20" w:rsidP="00F609E5">
            <w:pPr>
              <w:spacing w:after="0" w:line="240" w:lineRule="auto"/>
              <w:ind w:right="73"/>
              <w:contextualSpacing/>
              <w:jc w:val="both"/>
              <w:rPr>
                <w:rFonts w:ascii="Arial" w:eastAsia="Times New Roman" w:hAnsi="Arial" w:cs="Arial"/>
                <w:color w:val="000000"/>
                <w:sz w:val="24"/>
                <w:szCs w:val="24"/>
              </w:rPr>
            </w:pPr>
            <w:r w:rsidRPr="00F62C29">
              <w:rPr>
                <w:rFonts w:ascii="Arial" w:eastAsia="Times New Roman" w:hAnsi="Arial" w:cs="Arial"/>
                <w:color w:val="000000"/>
                <w:sz w:val="24"/>
                <w:szCs w:val="24"/>
              </w:rPr>
              <w:t xml:space="preserve">Limpador perfumado </w:t>
            </w:r>
            <w:proofErr w:type="spellStart"/>
            <w:r w:rsidRPr="00F62C29">
              <w:rPr>
                <w:rFonts w:ascii="Arial" w:eastAsia="Times New Roman" w:hAnsi="Arial" w:cs="Arial"/>
                <w:color w:val="000000"/>
                <w:sz w:val="24"/>
                <w:szCs w:val="24"/>
              </w:rPr>
              <w:t>diluível</w:t>
            </w:r>
            <w:proofErr w:type="spellEnd"/>
            <w:r w:rsidRPr="00F62C29">
              <w:rPr>
                <w:rFonts w:ascii="Arial" w:eastAsia="Times New Roman" w:hAnsi="Arial" w:cs="Arial"/>
                <w:color w:val="000000"/>
                <w:sz w:val="24"/>
                <w:szCs w:val="24"/>
              </w:rPr>
              <w:t xml:space="preserve"> para pisos, com componente ativo </w:t>
            </w:r>
            <w:proofErr w:type="spellStart"/>
            <w:r w:rsidRPr="00F62C29">
              <w:rPr>
                <w:rFonts w:ascii="Arial" w:eastAsia="Times New Roman" w:hAnsi="Arial" w:cs="Arial"/>
                <w:color w:val="000000"/>
                <w:sz w:val="24"/>
                <w:szCs w:val="24"/>
              </w:rPr>
              <w:t>nonil</w:t>
            </w:r>
            <w:proofErr w:type="spellEnd"/>
            <w:r w:rsidRPr="00F62C29">
              <w:rPr>
                <w:rFonts w:ascii="Arial" w:eastAsia="Times New Roman" w:hAnsi="Arial" w:cs="Arial"/>
                <w:color w:val="000000"/>
                <w:sz w:val="24"/>
                <w:szCs w:val="24"/>
              </w:rPr>
              <w:t xml:space="preserve"> fenol </w:t>
            </w:r>
            <w:proofErr w:type="spellStart"/>
            <w:r w:rsidRPr="00F62C29">
              <w:rPr>
                <w:rFonts w:ascii="Arial" w:eastAsia="Times New Roman" w:hAnsi="Arial" w:cs="Arial"/>
                <w:color w:val="000000"/>
                <w:sz w:val="24"/>
                <w:szCs w:val="24"/>
              </w:rPr>
              <w:t>etoxilado</w:t>
            </w:r>
            <w:proofErr w:type="spellEnd"/>
            <w:r w:rsidRPr="00F62C29">
              <w:rPr>
                <w:rFonts w:ascii="Arial" w:eastAsia="Times New Roman" w:hAnsi="Arial" w:cs="Arial"/>
                <w:color w:val="000000"/>
                <w:sz w:val="24"/>
                <w:szCs w:val="24"/>
              </w:rPr>
              <w:t xml:space="preserve"> com 9,5 moles de óxido de eteno.</w:t>
            </w:r>
          </w:p>
        </w:tc>
        <w:tc>
          <w:tcPr>
            <w:tcW w:w="1242" w:type="dxa"/>
            <w:tcBorders>
              <w:top w:val="single" w:sz="4" w:space="0" w:color="auto"/>
              <w:left w:val="single" w:sz="4" w:space="0" w:color="auto"/>
              <w:bottom w:val="single" w:sz="4" w:space="0" w:color="auto"/>
              <w:right w:val="single" w:sz="4" w:space="0" w:color="auto"/>
            </w:tcBorders>
          </w:tcPr>
          <w:p w14:paraId="2C23CA49" w14:textId="77777777" w:rsidR="00B56E20" w:rsidRPr="00F62C29" w:rsidRDefault="00B56E20"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Galão com</w:t>
            </w:r>
          </w:p>
          <w:p w14:paraId="7414155A" w14:textId="77777777" w:rsidR="00B56E20" w:rsidRPr="00F62C29" w:rsidRDefault="00B56E20"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05 litros</w:t>
            </w:r>
          </w:p>
        </w:tc>
        <w:tc>
          <w:tcPr>
            <w:tcW w:w="1394" w:type="dxa"/>
            <w:tcBorders>
              <w:top w:val="single" w:sz="4" w:space="0" w:color="auto"/>
              <w:left w:val="single" w:sz="4" w:space="0" w:color="auto"/>
              <w:bottom w:val="single" w:sz="4" w:space="0" w:color="auto"/>
              <w:right w:val="single" w:sz="4" w:space="0" w:color="auto"/>
            </w:tcBorders>
          </w:tcPr>
          <w:p w14:paraId="41841ECC" w14:textId="77777777" w:rsidR="00B56E20" w:rsidRPr="00F62C29" w:rsidRDefault="00B56E20"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120</w:t>
            </w:r>
          </w:p>
        </w:tc>
        <w:tc>
          <w:tcPr>
            <w:tcW w:w="1145" w:type="dxa"/>
            <w:tcBorders>
              <w:top w:val="single" w:sz="4" w:space="0" w:color="auto"/>
              <w:left w:val="single" w:sz="4" w:space="0" w:color="auto"/>
              <w:bottom w:val="single" w:sz="4" w:space="0" w:color="auto"/>
              <w:right w:val="single" w:sz="4" w:space="0" w:color="auto"/>
            </w:tcBorders>
          </w:tcPr>
          <w:p w14:paraId="57CEAA1A" w14:textId="6F19F508" w:rsidR="00B56E20" w:rsidRPr="00F62C29" w:rsidRDefault="00B56E20" w:rsidP="00F609E5">
            <w:pPr>
              <w:spacing w:after="0" w:line="240" w:lineRule="auto"/>
              <w:contextualSpacing/>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E60852F" w14:textId="014FD7E4" w:rsidR="00B56E20" w:rsidRPr="00F62C29" w:rsidRDefault="00B56E20" w:rsidP="00F609E5">
            <w:pPr>
              <w:spacing w:after="0" w:line="240" w:lineRule="auto"/>
              <w:contextualSpacing/>
              <w:jc w:val="center"/>
              <w:rPr>
                <w:rFonts w:ascii="Arial" w:eastAsia="Times New Roman" w:hAnsi="Arial" w:cs="Arial"/>
                <w:color w:val="000000"/>
                <w:sz w:val="24"/>
                <w:szCs w:val="24"/>
              </w:rPr>
            </w:pPr>
          </w:p>
        </w:tc>
        <w:tc>
          <w:tcPr>
            <w:tcW w:w="1567" w:type="dxa"/>
            <w:tcBorders>
              <w:top w:val="single" w:sz="4" w:space="0" w:color="auto"/>
              <w:left w:val="single" w:sz="4" w:space="0" w:color="auto"/>
              <w:bottom w:val="single" w:sz="4" w:space="0" w:color="auto"/>
              <w:right w:val="single" w:sz="4" w:space="0" w:color="auto"/>
            </w:tcBorders>
          </w:tcPr>
          <w:p w14:paraId="47E21877" w14:textId="047E6E08" w:rsidR="00B56E20" w:rsidRPr="00F62C29" w:rsidRDefault="00B56E20" w:rsidP="00F609E5">
            <w:pPr>
              <w:spacing w:after="0" w:line="240" w:lineRule="auto"/>
              <w:contextualSpacing/>
              <w:jc w:val="center"/>
              <w:rPr>
                <w:rFonts w:ascii="Arial" w:eastAsia="Times New Roman" w:hAnsi="Arial" w:cs="Arial"/>
                <w:color w:val="000000"/>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5CEF71FA" w14:textId="68F46287" w:rsidR="00272E64" w:rsidRDefault="00272E64" w:rsidP="009B492C">
      <w:pPr>
        <w:spacing w:after="0" w:line="240" w:lineRule="auto"/>
        <w:jc w:val="center"/>
        <w:rPr>
          <w:rFonts w:ascii="Arial" w:hAnsi="Arial" w:cs="Arial"/>
          <w:color w:val="000000"/>
          <w:sz w:val="24"/>
          <w:szCs w:val="24"/>
        </w:rPr>
      </w:pPr>
    </w:p>
    <w:p w14:paraId="0274C5AA" w14:textId="54CFBE75" w:rsidR="00272E64" w:rsidRDefault="00272E64" w:rsidP="009B492C">
      <w:pPr>
        <w:spacing w:after="0" w:line="240" w:lineRule="auto"/>
        <w:jc w:val="center"/>
        <w:rPr>
          <w:rFonts w:ascii="Arial" w:hAnsi="Arial" w:cs="Arial"/>
          <w:color w:val="000000"/>
          <w:sz w:val="24"/>
          <w:szCs w:val="24"/>
        </w:rPr>
      </w:pPr>
    </w:p>
    <w:p w14:paraId="40CA7515" w14:textId="31FA8AA9" w:rsidR="00272E64" w:rsidRDefault="00272E64" w:rsidP="009B492C">
      <w:pPr>
        <w:spacing w:after="0" w:line="240" w:lineRule="auto"/>
        <w:jc w:val="center"/>
        <w:rPr>
          <w:rFonts w:ascii="Arial" w:hAnsi="Arial" w:cs="Arial"/>
          <w:color w:val="000000"/>
          <w:sz w:val="24"/>
          <w:szCs w:val="24"/>
        </w:rPr>
      </w:pPr>
    </w:p>
    <w:p w14:paraId="484F7BC8" w14:textId="77777777" w:rsidR="00272E64" w:rsidRDefault="00272E64" w:rsidP="006B5E84">
      <w:pPr>
        <w:spacing w:after="0" w:line="240" w:lineRule="auto"/>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4609FC5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344EC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19AA298" w14:textId="745C5AD6"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29945ED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44EC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0DDDA3B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44EC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B56E20">
        <w:rPr>
          <w:rFonts w:ascii="Arial" w:eastAsia="Times New Roman" w:hAnsi="Arial" w:cs="Arial"/>
          <w:sz w:val="24"/>
          <w:szCs w:val="24"/>
          <w:lang w:eastAsia="zh-CN"/>
        </w:rPr>
        <w:t xml:space="preserve">limpador perfumado </w:t>
      </w:r>
      <w:proofErr w:type="spellStart"/>
      <w:r w:rsidR="00B56E20">
        <w:rPr>
          <w:rFonts w:ascii="Arial" w:eastAsia="Times New Roman" w:hAnsi="Arial" w:cs="Arial"/>
          <w:sz w:val="24"/>
          <w:szCs w:val="24"/>
          <w:lang w:eastAsia="zh-CN"/>
        </w:rPr>
        <w:t>diluível</w:t>
      </w:r>
      <w:proofErr w:type="spellEnd"/>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4BA6FA36"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B56E20">
        <w:rPr>
          <w:rFonts w:ascii="Arial" w:eastAsia="Times New Roman" w:hAnsi="Arial" w:cs="Arial"/>
          <w:b/>
          <w:sz w:val="24"/>
          <w:szCs w:val="24"/>
          <w:lang w:eastAsia="zh-CN"/>
        </w:rPr>
        <w:t>LIMPADOR PERFUMADO DILUÍVEL</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80D209D"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2022</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0BC7CB67"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B56E20">
        <w:rPr>
          <w:rFonts w:ascii="Arial" w:hAnsi="Arial" w:cs="Arial"/>
          <w:color w:val="000000"/>
          <w:sz w:val="24"/>
          <w:szCs w:val="24"/>
        </w:rPr>
        <w:t xml:space="preserve">limpador perfumado </w:t>
      </w:r>
      <w:proofErr w:type="spellStart"/>
      <w:r w:rsidR="00B56E20">
        <w:rPr>
          <w:rFonts w:ascii="Arial" w:hAnsi="Arial" w:cs="Arial"/>
          <w:color w:val="000000"/>
          <w:sz w:val="24"/>
          <w:szCs w:val="24"/>
        </w:rPr>
        <w:t>diluível</w:t>
      </w:r>
      <w:proofErr w:type="spellEnd"/>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4826F4E6"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E37183" w:rsidRPr="005164E9">
        <w:rPr>
          <w:rFonts w:ascii="Arial" w:eastAsia="Times New Roman" w:hAnsi="Arial" w:cs="Arial"/>
          <w:bCs/>
          <w:sz w:val="24"/>
          <w:szCs w:val="24"/>
          <w:lang w:eastAsia="zh-CN"/>
        </w:rPr>
        <w:t xml:space="preserve">Contratação </w:t>
      </w:r>
      <w:r w:rsidR="00E2168A" w:rsidRPr="005164E9">
        <w:rPr>
          <w:rFonts w:ascii="Arial" w:eastAsia="Times New Roman" w:hAnsi="Arial" w:cs="Arial"/>
          <w:bCs/>
          <w:color w:val="000000"/>
          <w:sz w:val="24"/>
          <w:szCs w:val="24"/>
          <w:lang w:eastAsia="pt-BR"/>
        </w:rPr>
        <w:t>exclusiva de ME, EPP ou Equiparadas</w:t>
      </w:r>
      <w:r w:rsidR="00E2168A" w:rsidRPr="005164E9">
        <w:rPr>
          <w:rFonts w:ascii="Arial" w:eastAsia="Times New Roman" w:hAnsi="Arial" w:cs="Arial"/>
          <w:color w:val="000000"/>
          <w:sz w:val="24"/>
          <w:szCs w:val="24"/>
          <w:lang w:eastAsia="pt-BR"/>
        </w:rPr>
        <w:t xml:space="preserve"> para o </w:t>
      </w:r>
      <w:r w:rsidR="00E2168A" w:rsidRPr="005164E9">
        <w:rPr>
          <w:rFonts w:ascii="Arial" w:eastAsia="Times New Roman" w:hAnsi="Arial" w:cs="Arial"/>
          <w:bCs/>
          <w:sz w:val="24"/>
          <w:szCs w:val="24"/>
          <w:lang w:eastAsia="zh-CN"/>
        </w:rPr>
        <w:t xml:space="preserve">fornecimento estimado de </w:t>
      </w:r>
      <w:r w:rsidRPr="005164E9">
        <w:rPr>
          <w:rFonts w:ascii="Arial" w:eastAsia="Times New Roman" w:hAnsi="Arial" w:cs="Arial"/>
          <w:color w:val="000000"/>
          <w:sz w:val="24"/>
          <w:szCs w:val="24"/>
        </w:rPr>
        <w:t xml:space="preserve">120 (cento e vinte) galões com cinco litros de limpador perfumado </w:t>
      </w:r>
      <w:proofErr w:type="spellStart"/>
      <w:r w:rsidRPr="005164E9">
        <w:rPr>
          <w:rFonts w:ascii="Arial" w:eastAsia="Times New Roman" w:hAnsi="Arial" w:cs="Arial"/>
          <w:color w:val="000000"/>
          <w:sz w:val="24"/>
          <w:szCs w:val="24"/>
        </w:rPr>
        <w:t>diluível</w:t>
      </w:r>
      <w:proofErr w:type="spellEnd"/>
      <w:r w:rsidRPr="005164E9">
        <w:rPr>
          <w:rFonts w:ascii="Arial" w:eastAsia="Times New Roman" w:hAnsi="Arial" w:cs="Arial"/>
          <w:color w:val="000000"/>
          <w:sz w:val="24"/>
          <w:szCs w:val="24"/>
        </w:rPr>
        <w:t xml:space="preserve"> para pisos, com componente ativo </w:t>
      </w:r>
      <w:proofErr w:type="spellStart"/>
      <w:r w:rsidRPr="005164E9">
        <w:rPr>
          <w:rFonts w:ascii="Arial" w:eastAsia="Times New Roman" w:hAnsi="Arial" w:cs="Arial"/>
          <w:color w:val="000000"/>
          <w:sz w:val="24"/>
          <w:szCs w:val="24"/>
        </w:rPr>
        <w:t>nonil</w:t>
      </w:r>
      <w:proofErr w:type="spellEnd"/>
      <w:r w:rsidRPr="005164E9">
        <w:rPr>
          <w:rFonts w:ascii="Arial" w:eastAsia="Times New Roman" w:hAnsi="Arial" w:cs="Arial"/>
          <w:color w:val="000000"/>
          <w:sz w:val="24"/>
          <w:szCs w:val="24"/>
        </w:rPr>
        <w:t xml:space="preserve"> fenol </w:t>
      </w:r>
      <w:proofErr w:type="spellStart"/>
      <w:r w:rsidRPr="005164E9">
        <w:rPr>
          <w:rFonts w:ascii="Arial" w:eastAsia="Times New Roman" w:hAnsi="Arial" w:cs="Arial"/>
          <w:color w:val="000000"/>
          <w:sz w:val="24"/>
          <w:szCs w:val="24"/>
        </w:rPr>
        <w:t>etoxilado</w:t>
      </w:r>
      <w:proofErr w:type="spellEnd"/>
      <w:r w:rsidRPr="005164E9">
        <w:rPr>
          <w:rFonts w:ascii="Arial" w:eastAsia="Times New Roman" w:hAnsi="Arial" w:cs="Arial"/>
          <w:color w:val="000000"/>
          <w:sz w:val="24"/>
          <w:szCs w:val="24"/>
        </w:rPr>
        <w:t xml:space="preserve"> com 9,5 moles de óxido de eteno, </w:t>
      </w:r>
      <w:r w:rsidRPr="005164E9">
        <w:rPr>
          <w:rFonts w:ascii="Arial" w:eastAsia="Times New Roman" w:hAnsi="Arial" w:cs="Arial"/>
          <w:bCs/>
          <w:sz w:val="24"/>
          <w:szCs w:val="24"/>
          <w:lang w:eastAsia="zh-CN"/>
        </w:rPr>
        <w:t>de forma parcelada, mediante requisição.</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6FFA2822"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 xml:space="preserve">A quantidade é estimada de consumo até 31 de dezembro de 2022,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423"/>
        <w:gridCol w:w="1242"/>
        <w:gridCol w:w="1394"/>
        <w:gridCol w:w="1145"/>
        <w:gridCol w:w="1300"/>
        <w:gridCol w:w="1567"/>
      </w:tblGrid>
      <w:tr w:rsidR="005164E9" w:rsidRPr="00F62C29" w14:paraId="1D08ED4D" w14:textId="77777777" w:rsidTr="005164E9">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3F3447CB" w14:textId="77777777" w:rsidR="005164E9" w:rsidRPr="00F62C29" w:rsidRDefault="005164E9"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3423" w:type="dxa"/>
            <w:tcBorders>
              <w:top w:val="single" w:sz="4" w:space="0" w:color="auto"/>
              <w:left w:val="single" w:sz="4" w:space="0" w:color="auto"/>
              <w:bottom w:val="single" w:sz="4" w:space="0" w:color="auto"/>
              <w:right w:val="single" w:sz="4" w:space="0" w:color="auto"/>
            </w:tcBorders>
            <w:vAlign w:val="center"/>
          </w:tcPr>
          <w:p w14:paraId="53B31B13" w14:textId="77777777" w:rsidR="005164E9" w:rsidRPr="00F62C29" w:rsidRDefault="005164E9" w:rsidP="00F609E5">
            <w:pPr>
              <w:pStyle w:val="Ttulo6"/>
              <w:framePr w:hSpace="0" w:wrap="auto" w:vAnchor="margin" w:hAnchor="text" w:xAlign="left" w:yAlign="inline"/>
              <w:ind w:right="73"/>
              <w:contextualSpacing/>
              <w:rPr>
                <w:sz w:val="24"/>
                <w:szCs w:val="24"/>
              </w:rPr>
            </w:pPr>
            <w:r w:rsidRPr="00F62C29">
              <w:rPr>
                <w:sz w:val="24"/>
                <w:szCs w:val="24"/>
              </w:rPr>
              <w:t>DESCRIÇÃO</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9228A10" w14:textId="77777777" w:rsidR="005164E9" w:rsidRPr="00F62C29" w:rsidRDefault="005164E9"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394" w:type="dxa"/>
            <w:tcBorders>
              <w:top w:val="single" w:sz="4" w:space="0" w:color="auto"/>
              <w:left w:val="single" w:sz="4" w:space="0" w:color="auto"/>
              <w:bottom w:val="single" w:sz="4" w:space="0" w:color="auto"/>
              <w:right w:val="single" w:sz="4" w:space="0" w:color="auto"/>
            </w:tcBorders>
            <w:vAlign w:val="center"/>
          </w:tcPr>
          <w:p w14:paraId="5D173957"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5EFF9AEA"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145" w:type="dxa"/>
            <w:tcBorders>
              <w:top w:val="single" w:sz="4" w:space="0" w:color="auto"/>
              <w:left w:val="single" w:sz="4" w:space="0" w:color="auto"/>
              <w:bottom w:val="single" w:sz="4" w:space="0" w:color="auto"/>
              <w:right w:val="single" w:sz="4" w:space="0" w:color="auto"/>
            </w:tcBorders>
            <w:vAlign w:val="center"/>
          </w:tcPr>
          <w:p w14:paraId="689A6E74" w14:textId="482BEE0A" w:rsidR="005164E9" w:rsidRPr="00F62C29" w:rsidRDefault="005164E9" w:rsidP="00F609E5">
            <w:pPr>
              <w:spacing w:after="0" w:line="240" w:lineRule="auto"/>
              <w:contextualSpacing/>
              <w:jc w:val="center"/>
              <w:rPr>
                <w:rFonts w:ascii="Arial" w:hAnsi="Arial" w:cs="Arial"/>
                <w:b/>
                <w:sz w:val="24"/>
                <w:szCs w:val="24"/>
              </w:rPr>
            </w:pPr>
            <w:r>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078C507B"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2CF82739"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567" w:type="dxa"/>
            <w:tcBorders>
              <w:top w:val="single" w:sz="4" w:space="0" w:color="auto"/>
              <w:left w:val="single" w:sz="4" w:space="0" w:color="auto"/>
              <w:bottom w:val="single" w:sz="4" w:space="0" w:color="auto"/>
              <w:right w:val="single" w:sz="4" w:space="0" w:color="auto"/>
            </w:tcBorders>
            <w:vAlign w:val="center"/>
          </w:tcPr>
          <w:p w14:paraId="47057373"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372AD007"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GLOBAL</w:t>
            </w:r>
          </w:p>
          <w:p w14:paraId="007B80CD"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ESTIMADO</w:t>
            </w:r>
          </w:p>
        </w:tc>
      </w:tr>
      <w:tr w:rsidR="005164E9" w:rsidRPr="00F62C29" w14:paraId="41E10C2D" w14:textId="77777777" w:rsidTr="005164E9">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A84589F" w14:textId="77777777" w:rsidR="005164E9" w:rsidRPr="00F62C29" w:rsidRDefault="005164E9" w:rsidP="00F609E5">
            <w:pPr>
              <w:spacing w:after="0" w:line="240" w:lineRule="auto"/>
              <w:ind w:right="-64"/>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01</w:t>
            </w:r>
          </w:p>
        </w:tc>
        <w:tc>
          <w:tcPr>
            <w:tcW w:w="3423" w:type="dxa"/>
            <w:tcBorders>
              <w:top w:val="single" w:sz="4" w:space="0" w:color="auto"/>
              <w:left w:val="single" w:sz="4" w:space="0" w:color="auto"/>
              <w:bottom w:val="single" w:sz="4" w:space="0" w:color="auto"/>
              <w:right w:val="single" w:sz="4" w:space="0" w:color="auto"/>
            </w:tcBorders>
          </w:tcPr>
          <w:p w14:paraId="4248B333" w14:textId="77777777" w:rsidR="005164E9" w:rsidRPr="00F62C29" w:rsidRDefault="005164E9" w:rsidP="00F609E5">
            <w:pPr>
              <w:spacing w:after="0" w:line="240" w:lineRule="auto"/>
              <w:ind w:right="73"/>
              <w:contextualSpacing/>
              <w:jc w:val="both"/>
              <w:rPr>
                <w:rFonts w:ascii="Arial" w:eastAsia="Times New Roman" w:hAnsi="Arial" w:cs="Arial"/>
                <w:color w:val="000000"/>
                <w:sz w:val="24"/>
                <w:szCs w:val="24"/>
              </w:rPr>
            </w:pPr>
            <w:r w:rsidRPr="00F62C29">
              <w:rPr>
                <w:rFonts w:ascii="Arial" w:eastAsia="Times New Roman" w:hAnsi="Arial" w:cs="Arial"/>
                <w:color w:val="000000"/>
                <w:sz w:val="24"/>
                <w:szCs w:val="24"/>
              </w:rPr>
              <w:t xml:space="preserve">Limpador perfumado </w:t>
            </w:r>
            <w:proofErr w:type="spellStart"/>
            <w:r w:rsidRPr="00F62C29">
              <w:rPr>
                <w:rFonts w:ascii="Arial" w:eastAsia="Times New Roman" w:hAnsi="Arial" w:cs="Arial"/>
                <w:color w:val="000000"/>
                <w:sz w:val="24"/>
                <w:szCs w:val="24"/>
              </w:rPr>
              <w:t>diluível</w:t>
            </w:r>
            <w:proofErr w:type="spellEnd"/>
            <w:r w:rsidRPr="00F62C29">
              <w:rPr>
                <w:rFonts w:ascii="Arial" w:eastAsia="Times New Roman" w:hAnsi="Arial" w:cs="Arial"/>
                <w:color w:val="000000"/>
                <w:sz w:val="24"/>
                <w:szCs w:val="24"/>
              </w:rPr>
              <w:t xml:space="preserve"> para pisos, com componente ativo </w:t>
            </w:r>
            <w:proofErr w:type="spellStart"/>
            <w:r w:rsidRPr="00F62C29">
              <w:rPr>
                <w:rFonts w:ascii="Arial" w:eastAsia="Times New Roman" w:hAnsi="Arial" w:cs="Arial"/>
                <w:color w:val="000000"/>
                <w:sz w:val="24"/>
                <w:szCs w:val="24"/>
              </w:rPr>
              <w:t>nonil</w:t>
            </w:r>
            <w:proofErr w:type="spellEnd"/>
            <w:r w:rsidRPr="00F62C29">
              <w:rPr>
                <w:rFonts w:ascii="Arial" w:eastAsia="Times New Roman" w:hAnsi="Arial" w:cs="Arial"/>
                <w:color w:val="000000"/>
                <w:sz w:val="24"/>
                <w:szCs w:val="24"/>
              </w:rPr>
              <w:t xml:space="preserve"> fenol </w:t>
            </w:r>
            <w:proofErr w:type="spellStart"/>
            <w:r w:rsidRPr="00F62C29">
              <w:rPr>
                <w:rFonts w:ascii="Arial" w:eastAsia="Times New Roman" w:hAnsi="Arial" w:cs="Arial"/>
                <w:color w:val="000000"/>
                <w:sz w:val="24"/>
                <w:szCs w:val="24"/>
              </w:rPr>
              <w:t>etoxilado</w:t>
            </w:r>
            <w:proofErr w:type="spellEnd"/>
            <w:r w:rsidRPr="00F62C29">
              <w:rPr>
                <w:rFonts w:ascii="Arial" w:eastAsia="Times New Roman" w:hAnsi="Arial" w:cs="Arial"/>
                <w:color w:val="000000"/>
                <w:sz w:val="24"/>
                <w:szCs w:val="24"/>
              </w:rPr>
              <w:t xml:space="preserve"> com 9,5 moles de óxido de eteno.</w:t>
            </w:r>
          </w:p>
        </w:tc>
        <w:tc>
          <w:tcPr>
            <w:tcW w:w="1242" w:type="dxa"/>
            <w:tcBorders>
              <w:top w:val="single" w:sz="4" w:space="0" w:color="auto"/>
              <w:left w:val="single" w:sz="4" w:space="0" w:color="auto"/>
              <w:bottom w:val="single" w:sz="4" w:space="0" w:color="auto"/>
              <w:right w:val="single" w:sz="4" w:space="0" w:color="auto"/>
            </w:tcBorders>
          </w:tcPr>
          <w:p w14:paraId="7A0F8F41" w14:textId="77777777" w:rsidR="005164E9" w:rsidRPr="00F62C29" w:rsidRDefault="005164E9"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Galão com</w:t>
            </w:r>
          </w:p>
          <w:p w14:paraId="41F7A7C0" w14:textId="77777777" w:rsidR="005164E9" w:rsidRPr="00F62C29" w:rsidRDefault="005164E9"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05 litros</w:t>
            </w:r>
          </w:p>
        </w:tc>
        <w:tc>
          <w:tcPr>
            <w:tcW w:w="1394" w:type="dxa"/>
            <w:tcBorders>
              <w:top w:val="single" w:sz="4" w:space="0" w:color="auto"/>
              <w:left w:val="single" w:sz="4" w:space="0" w:color="auto"/>
              <w:bottom w:val="single" w:sz="4" w:space="0" w:color="auto"/>
              <w:right w:val="single" w:sz="4" w:space="0" w:color="auto"/>
            </w:tcBorders>
          </w:tcPr>
          <w:p w14:paraId="54EB4365" w14:textId="77777777" w:rsidR="005164E9" w:rsidRPr="00F62C29" w:rsidRDefault="005164E9"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120</w:t>
            </w:r>
          </w:p>
        </w:tc>
        <w:tc>
          <w:tcPr>
            <w:tcW w:w="1145" w:type="dxa"/>
            <w:tcBorders>
              <w:top w:val="single" w:sz="4" w:space="0" w:color="auto"/>
              <w:left w:val="single" w:sz="4" w:space="0" w:color="auto"/>
              <w:bottom w:val="single" w:sz="4" w:space="0" w:color="auto"/>
              <w:right w:val="single" w:sz="4" w:space="0" w:color="auto"/>
            </w:tcBorders>
          </w:tcPr>
          <w:p w14:paraId="697E318D" w14:textId="27BD54BB" w:rsidR="005164E9" w:rsidRPr="00F62C29" w:rsidRDefault="005164E9" w:rsidP="00F609E5">
            <w:pPr>
              <w:spacing w:after="0" w:line="240" w:lineRule="auto"/>
              <w:contextualSpacing/>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93FCFC8" w14:textId="396661A9" w:rsidR="005164E9" w:rsidRPr="00F62C29" w:rsidRDefault="005164E9" w:rsidP="00F609E5">
            <w:pPr>
              <w:spacing w:after="0" w:line="240" w:lineRule="auto"/>
              <w:contextualSpacing/>
              <w:jc w:val="center"/>
              <w:rPr>
                <w:rFonts w:ascii="Arial" w:eastAsia="Times New Roman" w:hAnsi="Arial" w:cs="Arial"/>
                <w:color w:val="000000"/>
                <w:sz w:val="24"/>
                <w:szCs w:val="24"/>
              </w:rPr>
            </w:pPr>
          </w:p>
        </w:tc>
        <w:tc>
          <w:tcPr>
            <w:tcW w:w="1567" w:type="dxa"/>
            <w:tcBorders>
              <w:top w:val="single" w:sz="4" w:space="0" w:color="auto"/>
              <w:left w:val="single" w:sz="4" w:space="0" w:color="auto"/>
              <w:bottom w:val="single" w:sz="4" w:space="0" w:color="auto"/>
              <w:right w:val="single" w:sz="4" w:space="0" w:color="auto"/>
            </w:tcBorders>
          </w:tcPr>
          <w:p w14:paraId="1012F22B" w14:textId="5857BFD0" w:rsidR="005164E9" w:rsidRPr="00F62C29" w:rsidRDefault="005164E9" w:rsidP="00F609E5">
            <w:pPr>
              <w:spacing w:after="0" w:line="240" w:lineRule="auto"/>
              <w:contextualSpacing/>
              <w:jc w:val="center"/>
              <w:rPr>
                <w:rFonts w:ascii="Arial" w:eastAsia="Times New Roman" w:hAnsi="Arial" w:cs="Arial"/>
                <w:color w:val="000000"/>
                <w:sz w:val="24"/>
                <w:szCs w:val="24"/>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748EA45" w14:textId="145375A4" w:rsidR="000C507B" w:rsidRDefault="000C507B" w:rsidP="000C507B">
      <w:pPr>
        <w:spacing w:after="0" w:line="240" w:lineRule="auto"/>
        <w:jc w:val="both"/>
        <w:rPr>
          <w:rFonts w:ascii="Arial" w:hAnsi="Arial" w:cs="Arial"/>
          <w:b/>
          <w:color w:val="000000"/>
          <w:sz w:val="24"/>
          <w:szCs w:val="24"/>
        </w:rPr>
      </w:pPr>
    </w:p>
    <w:p w14:paraId="60D4DE3B" w14:textId="615E6C7A" w:rsidR="00313403" w:rsidRDefault="00313403" w:rsidP="000C507B">
      <w:pPr>
        <w:spacing w:after="0" w:line="240" w:lineRule="auto"/>
        <w:jc w:val="both"/>
        <w:rPr>
          <w:rFonts w:ascii="Arial" w:hAnsi="Arial" w:cs="Arial"/>
          <w:b/>
          <w:color w:val="000000"/>
          <w:sz w:val="24"/>
          <w:szCs w:val="24"/>
        </w:rPr>
      </w:pP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253407" w14:textId="77777777" w:rsidR="00F56404" w:rsidRDefault="00F56404"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77777777"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6F69AD94"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proofErr w:type="gramStart"/>
      <w:r w:rsidRPr="00E76C9F">
        <w:rPr>
          <w:rFonts w:ascii="Arial" w:hAnsi="Arial" w:cs="Arial"/>
          <w:color w:val="000000"/>
          <w:sz w:val="24"/>
          <w:szCs w:val="24"/>
        </w:rPr>
        <w:t>pela</w:t>
      </w:r>
      <w:r>
        <w:rPr>
          <w:rFonts w:ascii="Arial" w:hAnsi="Arial" w:cs="Arial"/>
          <w:color w:val="000000"/>
          <w:sz w:val="24"/>
          <w:szCs w:val="24"/>
        </w:rPr>
        <w:t xml:space="preserve"> fornecimento</w:t>
      </w:r>
      <w:proofErr w:type="gramEnd"/>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w:t>
      </w:r>
      <w:r w:rsidRPr="00482F58">
        <w:rPr>
          <w:rFonts w:ascii="Arial" w:hAnsi="Arial" w:cs="Arial"/>
          <w:color w:val="000000"/>
          <w:sz w:val="24"/>
          <w:szCs w:val="24"/>
        </w:rPr>
        <w:lastRenderedPageBreak/>
        <w:t xml:space="preserve">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lastRenderedPageBreak/>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5" w:name="art65§3"/>
      <w:bookmarkEnd w:id="15"/>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 xml:space="preserve">Quaisquer tributos ou encargos legais criados, alterados ou extintos, bem como a superveniência de disposições legais, quando ocorridas após a data da </w:t>
      </w:r>
      <w:r w:rsidRPr="00A07FF4">
        <w:rPr>
          <w:rFonts w:ascii="Arial" w:eastAsia="Times New Roman" w:hAnsi="Arial" w:cs="Arial"/>
          <w:color w:val="000000"/>
          <w:sz w:val="24"/>
          <w:szCs w:val="24"/>
          <w:lang w:eastAsia="pt-BR"/>
        </w:rPr>
        <w:lastRenderedPageBreak/>
        <w:t>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5B8A933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4640A2D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2022</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77777777" w:rsidR="00372706" w:rsidRDefault="00372706"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423"/>
        <w:gridCol w:w="1242"/>
        <w:gridCol w:w="1394"/>
        <w:gridCol w:w="1300"/>
        <w:gridCol w:w="1567"/>
      </w:tblGrid>
      <w:tr w:rsidR="005164E9" w:rsidRPr="00F62C29" w14:paraId="6B64B125" w14:textId="77777777" w:rsidTr="005164E9">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25685696" w14:textId="77777777" w:rsidR="005164E9" w:rsidRPr="00F62C29" w:rsidRDefault="005164E9"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3423" w:type="dxa"/>
            <w:tcBorders>
              <w:top w:val="single" w:sz="4" w:space="0" w:color="auto"/>
              <w:left w:val="single" w:sz="4" w:space="0" w:color="auto"/>
              <w:bottom w:val="single" w:sz="4" w:space="0" w:color="auto"/>
              <w:right w:val="single" w:sz="4" w:space="0" w:color="auto"/>
            </w:tcBorders>
            <w:vAlign w:val="center"/>
          </w:tcPr>
          <w:p w14:paraId="2ECE8B5D" w14:textId="77777777" w:rsidR="005164E9" w:rsidRPr="00F62C29" w:rsidRDefault="005164E9" w:rsidP="00F609E5">
            <w:pPr>
              <w:pStyle w:val="Ttulo6"/>
              <w:framePr w:hSpace="0" w:wrap="auto" w:vAnchor="margin" w:hAnchor="text" w:xAlign="left" w:yAlign="inline"/>
              <w:ind w:right="73"/>
              <w:contextualSpacing/>
              <w:rPr>
                <w:sz w:val="24"/>
                <w:szCs w:val="24"/>
              </w:rPr>
            </w:pPr>
            <w:r w:rsidRPr="00F62C29">
              <w:rPr>
                <w:sz w:val="24"/>
                <w:szCs w:val="24"/>
              </w:rPr>
              <w:t>DESCRIÇÃO</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4C54494" w14:textId="77777777" w:rsidR="005164E9" w:rsidRPr="00F62C29" w:rsidRDefault="005164E9"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394" w:type="dxa"/>
            <w:tcBorders>
              <w:top w:val="single" w:sz="4" w:space="0" w:color="auto"/>
              <w:left w:val="single" w:sz="4" w:space="0" w:color="auto"/>
              <w:bottom w:val="single" w:sz="4" w:space="0" w:color="auto"/>
              <w:right w:val="single" w:sz="4" w:space="0" w:color="auto"/>
            </w:tcBorders>
            <w:vAlign w:val="center"/>
          </w:tcPr>
          <w:p w14:paraId="5EE4BAC7"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07DE5C68"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300" w:type="dxa"/>
            <w:tcBorders>
              <w:top w:val="single" w:sz="4" w:space="0" w:color="auto"/>
              <w:left w:val="single" w:sz="4" w:space="0" w:color="auto"/>
              <w:bottom w:val="single" w:sz="4" w:space="0" w:color="auto"/>
              <w:right w:val="single" w:sz="4" w:space="0" w:color="auto"/>
            </w:tcBorders>
            <w:vAlign w:val="center"/>
          </w:tcPr>
          <w:p w14:paraId="22B8483F"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12B8605F"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567" w:type="dxa"/>
            <w:tcBorders>
              <w:top w:val="single" w:sz="4" w:space="0" w:color="auto"/>
              <w:left w:val="single" w:sz="4" w:space="0" w:color="auto"/>
              <w:bottom w:val="single" w:sz="4" w:space="0" w:color="auto"/>
              <w:right w:val="single" w:sz="4" w:space="0" w:color="auto"/>
            </w:tcBorders>
            <w:vAlign w:val="center"/>
          </w:tcPr>
          <w:p w14:paraId="4655DAED"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66BC9BB3"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GLOBAL</w:t>
            </w:r>
          </w:p>
          <w:p w14:paraId="6CAE078E" w14:textId="77777777" w:rsidR="005164E9" w:rsidRPr="00F62C29" w:rsidRDefault="005164E9" w:rsidP="00F609E5">
            <w:pPr>
              <w:spacing w:after="0" w:line="240" w:lineRule="auto"/>
              <w:contextualSpacing/>
              <w:jc w:val="center"/>
              <w:rPr>
                <w:rFonts w:ascii="Arial" w:hAnsi="Arial" w:cs="Arial"/>
                <w:b/>
                <w:sz w:val="24"/>
                <w:szCs w:val="24"/>
              </w:rPr>
            </w:pPr>
            <w:r w:rsidRPr="00F62C29">
              <w:rPr>
                <w:rFonts w:ascii="Arial" w:hAnsi="Arial" w:cs="Arial"/>
                <w:b/>
                <w:sz w:val="24"/>
                <w:szCs w:val="24"/>
              </w:rPr>
              <w:t>ESTIMADO</w:t>
            </w:r>
          </w:p>
        </w:tc>
      </w:tr>
      <w:tr w:rsidR="005164E9" w:rsidRPr="00F62C29" w14:paraId="57F693C2" w14:textId="77777777" w:rsidTr="005164E9">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0ECBB46" w14:textId="77777777" w:rsidR="005164E9" w:rsidRPr="00F62C29" w:rsidRDefault="005164E9" w:rsidP="00F609E5">
            <w:pPr>
              <w:spacing w:after="0" w:line="240" w:lineRule="auto"/>
              <w:ind w:right="-64"/>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01</w:t>
            </w:r>
          </w:p>
        </w:tc>
        <w:tc>
          <w:tcPr>
            <w:tcW w:w="3423" w:type="dxa"/>
            <w:tcBorders>
              <w:top w:val="single" w:sz="4" w:space="0" w:color="auto"/>
              <w:left w:val="single" w:sz="4" w:space="0" w:color="auto"/>
              <w:bottom w:val="single" w:sz="4" w:space="0" w:color="auto"/>
              <w:right w:val="single" w:sz="4" w:space="0" w:color="auto"/>
            </w:tcBorders>
          </w:tcPr>
          <w:p w14:paraId="64D93662" w14:textId="77777777" w:rsidR="005164E9" w:rsidRPr="00F62C29" w:rsidRDefault="005164E9" w:rsidP="00F609E5">
            <w:pPr>
              <w:spacing w:after="0" w:line="240" w:lineRule="auto"/>
              <w:ind w:right="73"/>
              <w:contextualSpacing/>
              <w:jc w:val="both"/>
              <w:rPr>
                <w:rFonts w:ascii="Arial" w:eastAsia="Times New Roman" w:hAnsi="Arial" w:cs="Arial"/>
                <w:color w:val="000000"/>
                <w:sz w:val="24"/>
                <w:szCs w:val="24"/>
              </w:rPr>
            </w:pPr>
            <w:r w:rsidRPr="00F62C29">
              <w:rPr>
                <w:rFonts w:ascii="Arial" w:eastAsia="Times New Roman" w:hAnsi="Arial" w:cs="Arial"/>
                <w:color w:val="000000"/>
                <w:sz w:val="24"/>
                <w:szCs w:val="24"/>
              </w:rPr>
              <w:t xml:space="preserve">Limpador perfumado </w:t>
            </w:r>
            <w:proofErr w:type="spellStart"/>
            <w:r w:rsidRPr="00F62C29">
              <w:rPr>
                <w:rFonts w:ascii="Arial" w:eastAsia="Times New Roman" w:hAnsi="Arial" w:cs="Arial"/>
                <w:color w:val="000000"/>
                <w:sz w:val="24"/>
                <w:szCs w:val="24"/>
              </w:rPr>
              <w:t>diluível</w:t>
            </w:r>
            <w:proofErr w:type="spellEnd"/>
            <w:r w:rsidRPr="00F62C29">
              <w:rPr>
                <w:rFonts w:ascii="Arial" w:eastAsia="Times New Roman" w:hAnsi="Arial" w:cs="Arial"/>
                <w:color w:val="000000"/>
                <w:sz w:val="24"/>
                <w:szCs w:val="24"/>
              </w:rPr>
              <w:t xml:space="preserve"> para pisos, com componente ativo </w:t>
            </w:r>
            <w:proofErr w:type="spellStart"/>
            <w:r w:rsidRPr="00F62C29">
              <w:rPr>
                <w:rFonts w:ascii="Arial" w:eastAsia="Times New Roman" w:hAnsi="Arial" w:cs="Arial"/>
                <w:color w:val="000000"/>
                <w:sz w:val="24"/>
                <w:szCs w:val="24"/>
              </w:rPr>
              <w:t>nonil</w:t>
            </w:r>
            <w:proofErr w:type="spellEnd"/>
            <w:r w:rsidRPr="00F62C29">
              <w:rPr>
                <w:rFonts w:ascii="Arial" w:eastAsia="Times New Roman" w:hAnsi="Arial" w:cs="Arial"/>
                <w:color w:val="000000"/>
                <w:sz w:val="24"/>
                <w:szCs w:val="24"/>
              </w:rPr>
              <w:t xml:space="preserve"> fenol </w:t>
            </w:r>
            <w:proofErr w:type="spellStart"/>
            <w:r w:rsidRPr="00F62C29">
              <w:rPr>
                <w:rFonts w:ascii="Arial" w:eastAsia="Times New Roman" w:hAnsi="Arial" w:cs="Arial"/>
                <w:color w:val="000000"/>
                <w:sz w:val="24"/>
                <w:szCs w:val="24"/>
              </w:rPr>
              <w:t>etoxilado</w:t>
            </w:r>
            <w:proofErr w:type="spellEnd"/>
            <w:r w:rsidRPr="00F62C29">
              <w:rPr>
                <w:rFonts w:ascii="Arial" w:eastAsia="Times New Roman" w:hAnsi="Arial" w:cs="Arial"/>
                <w:color w:val="000000"/>
                <w:sz w:val="24"/>
                <w:szCs w:val="24"/>
              </w:rPr>
              <w:t xml:space="preserve"> com 9,5 moles de óxido de eteno.</w:t>
            </w:r>
          </w:p>
        </w:tc>
        <w:tc>
          <w:tcPr>
            <w:tcW w:w="1242" w:type="dxa"/>
            <w:tcBorders>
              <w:top w:val="single" w:sz="4" w:space="0" w:color="auto"/>
              <w:left w:val="single" w:sz="4" w:space="0" w:color="auto"/>
              <w:bottom w:val="single" w:sz="4" w:space="0" w:color="auto"/>
              <w:right w:val="single" w:sz="4" w:space="0" w:color="auto"/>
            </w:tcBorders>
          </w:tcPr>
          <w:p w14:paraId="7C083227" w14:textId="77777777" w:rsidR="005164E9" w:rsidRPr="00F62C29" w:rsidRDefault="005164E9"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Galão com</w:t>
            </w:r>
          </w:p>
          <w:p w14:paraId="6178F93A" w14:textId="77777777" w:rsidR="005164E9" w:rsidRPr="00F62C29" w:rsidRDefault="005164E9"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05 litros</w:t>
            </w:r>
          </w:p>
        </w:tc>
        <w:tc>
          <w:tcPr>
            <w:tcW w:w="1394" w:type="dxa"/>
            <w:tcBorders>
              <w:top w:val="single" w:sz="4" w:space="0" w:color="auto"/>
              <w:left w:val="single" w:sz="4" w:space="0" w:color="auto"/>
              <w:bottom w:val="single" w:sz="4" w:space="0" w:color="auto"/>
              <w:right w:val="single" w:sz="4" w:space="0" w:color="auto"/>
            </w:tcBorders>
          </w:tcPr>
          <w:p w14:paraId="78FE1808" w14:textId="77777777" w:rsidR="005164E9" w:rsidRPr="00F62C29" w:rsidRDefault="005164E9" w:rsidP="00F609E5">
            <w:pPr>
              <w:spacing w:after="0" w:line="240" w:lineRule="auto"/>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120</w:t>
            </w:r>
          </w:p>
        </w:tc>
        <w:tc>
          <w:tcPr>
            <w:tcW w:w="1300" w:type="dxa"/>
            <w:tcBorders>
              <w:top w:val="single" w:sz="4" w:space="0" w:color="auto"/>
              <w:left w:val="single" w:sz="4" w:space="0" w:color="auto"/>
              <w:bottom w:val="single" w:sz="4" w:space="0" w:color="auto"/>
              <w:right w:val="single" w:sz="4" w:space="0" w:color="auto"/>
            </w:tcBorders>
          </w:tcPr>
          <w:p w14:paraId="126F2397" w14:textId="77777777" w:rsidR="005164E9" w:rsidRPr="00F62C29" w:rsidRDefault="005164E9" w:rsidP="00F609E5">
            <w:pPr>
              <w:spacing w:after="0" w:line="240" w:lineRule="auto"/>
              <w:contextualSpacing/>
              <w:jc w:val="center"/>
              <w:rPr>
                <w:rFonts w:ascii="Arial" w:eastAsia="Times New Roman" w:hAnsi="Arial" w:cs="Arial"/>
                <w:color w:val="000000"/>
                <w:sz w:val="24"/>
                <w:szCs w:val="24"/>
              </w:rPr>
            </w:pPr>
            <w:r w:rsidRPr="00F62C29">
              <w:rPr>
                <w:rFonts w:ascii="Arial" w:hAnsi="Arial" w:cs="Arial"/>
                <w:color w:val="000000"/>
                <w:sz w:val="24"/>
                <w:szCs w:val="24"/>
              </w:rPr>
              <w:t xml:space="preserve">R$ </w:t>
            </w:r>
            <w:r>
              <w:rPr>
                <w:rFonts w:ascii="Arial" w:hAnsi="Arial" w:cs="Arial"/>
                <w:color w:val="000000"/>
                <w:sz w:val="24"/>
                <w:szCs w:val="24"/>
              </w:rPr>
              <w:t>65</w:t>
            </w:r>
            <w:r w:rsidRPr="00F62C29">
              <w:rPr>
                <w:rFonts w:ascii="Arial" w:hAnsi="Arial" w:cs="Arial"/>
                <w:color w:val="000000"/>
                <w:sz w:val="24"/>
                <w:szCs w:val="24"/>
              </w:rPr>
              <w:t>,</w:t>
            </w:r>
            <w:r>
              <w:rPr>
                <w:rFonts w:ascii="Arial" w:hAnsi="Arial" w:cs="Arial"/>
                <w:color w:val="000000"/>
                <w:sz w:val="24"/>
                <w:szCs w:val="24"/>
              </w:rPr>
              <w:t>0</w:t>
            </w:r>
            <w:r w:rsidRPr="00F62C29">
              <w:rPr>
                <w:rFonts w:ascii="Arial" w:hAnsi="Arial" w:cs="Arial"/>
                <w:color w:val="000000"/>
                <w:sz w:val="24"/>
                <w:szCs w:val="24"/>
              </w:rPr>
              <w:t>0</w:t>
            </w:r>
          </w:p>
        </w:tc>
        <w:tc>
          <w:tcPr>
            <w:tcW w:w="1567" w:type="dxa"/>
            <w:tcBorders>
              <w:top w:val="single" w:sz="4" w:space="0" w:color="auto"/>
              <w:left w:val="single" w:sz="4" w:space="0" w:color="auto"/>
              <w:bottom w:val="single" w:sz="4" w:space="0" w:color="auto"/>
              <w:right w:val="single" w:sz="4" w:space="0" w:color="auto"/>
            </w:tcBorders>
          </w:tcPr>
          <w:p w14:paraId="4CB507BC" w14:textId="77777777" w:rsidR="005164E9" w:rsidRPr="00F62C29" w:rsidRDefault="005164E9" w:rsidP="00F609E5">
            <w:pPr>
              <w:spacing w:after="0" w:line="240" w:lineRule="auto"/>
              <w:contextualSpacing/>
              <w:jc w:val="center"/>
              <w:rPr>
                <w:rFonts w:ascii="Arial" w:eastAsia="Times New Roman" w:hAnsi="Arial" w:cs="Arial"/>
                <w:color w:val="000000"/>
                <w:sz w:val="24"/>
                <w:szCs w:val="24"/>
              </w:rPr>
            </w:pPr>
            <w:r w:rsidRPr="00F62C29">
              <w:rPr>
                <w:rFonts w:ascii="Arial" w:hAnsi="Arial" w:cs="Arial"/>
                <w:color w:val="000000"/>
                <w:sz w:val="24"/>
                <w:szCs w:val="24"/>
              </w:rPr>
              <w:t xml:space="preserve">R$ </w:t>
            </w:r>
            <w:r>
              <w:rPr>
                <w:rFonts w:ascii="Arial" w:hAnsi="Arial" w:cs="Arial"/>
                <w:color w:val="000000"/>
                <w:sz w:val="24"/>
                <w:szCs w:val="24"/>
              </w:rPr>
              <w:t>7</w:t>
            </w:r>
            <w:r w:rsidRPr="00F62C29">
              <w:rPr>
                <w:rFonts w:ascii="Arial" w:hAnsi="Arial" w:cs="Arial"/>
                <w:color w:val="000000"/>
                <w:sz w:val="24"/>
                <w:szCs w:val="24"/>
              </w:rPr>
              <w:t>.</w:t>
            </w:r>
            <w:r>
              <w:rPr>
                <w:rFonts w:ascii="Arial" w:hAnsi="Arial" w:cs="Arial"/>
                <w:color w:val="000000"/>
                <w:sz w:val="24"/>
                <w:szCs w:val="24"/>
              </w:rPr>
              <w:t>80</w:t>
            </w:r>
            <w:r w:rsidRPr="00F62C29">
              <w:rPr>
                <w:rFonts w:ascii="Arial" w:hAnsi="Arial" w:cs="Arial"/>
                <w:color w:val="000000"/>
                <w:sz w:val="24"/>
                <w:szCs w:val="24"/>
              </w:rPr>
              <w:t>0,00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2D19185" w:rsidR="00F56404" w:rsidRDefault="00F56404" w:rsidP="00372706">
      <w:pPr>
        <w:pStyle w:val="Cabealho"/>
        <w:tabs>
          <w:tab w:val="clear" w:pos="4252"/>
          <w:tab w:val="clear" w:pos="8504"/>
        </w:tabs>
        <w:spacing w:after="160" w:line="259" w:lineRule="auto"/>
      </w:pPr>
    </w:p>
    <w:p w14:paraId="5CC85C6D" w14:textId="6E578BFC" w:rsidR="00F56404" w:rsidRDefault="00F56404" w:rsidP="00372706">
      <w:pPr>
        <w:pStyle w:val="Cabealho"/>
        <w:tabs>
          <w:tab w:val="clear" w:pos="4252"/>
          <w:tab w:val="clear" w:pos="8504"/>
        </w:tabs>
        <w:spacing w:after="160" w:line="259" w:lineRule="auto"/>
      </w:pPr>
    </w:p>
    <w:p w14:paraId="2FA22621" w14:textId="7A9D82E5" w:rsidR="00F56404" w:rsidRDefault="00F56404" w:rsidP="00372706">
      <w:pPr>
        <w:pStyle w:val="Cabealho"/>
        <w:tabs>
          <w:tab w:val="clear" w:pos="4252"/>
          <w:tab w:val="clear" w:pos="8504"/>
        </w:tabs>
        <w:spacing w:after="160" w:line="259" w:lineRule="auto"/>
      </w:pPr>
    </w:p>
    <w:p w14:paraId="07B39344" w14:textId="0F2545CA" w:rsidR="00F56404" w:rsidRDefault="00F56404" w:rsidP="00372706">
      <w:pPr>
        <w:pStyle w:val="Cabealho"/>
        <w:tabs>
          <w:tab w:val="clear" w:pos="4252"/>
          <w:tab w:val="clear" w:pos="8504"/>
        </w:tabs>
        <w:spacing w:after="160" w:line="259" w:lineRule="auto"/>
      </w:pPr>
    </w:p>
    <w:p w14:paraId="23F2FEB2" w14:textId="3C21C1DD" w:rsidR="00F56404" w:rsidRDefault="00F56404" w:rsidP="00372706">
      <w:pPr>
        <w:pStyle w:val="Cabealho"/>
        <w:tabs>
          <w:tab w:val="clear" w:pos="4252"/>
          <w:tab w:val="clear" w:pos="8504"/>
        </w:tabs>
        <w:spacing w:after="160" w:line="259" w:lineRule="auto"/>
      </w:pPr>
    </w:p>
    <w:p w14:paraId="761714E5" w14:textId="77777777" w:rsidR="00F56404" w:rsidRDefault="00F56404" w:rsidP="00372706">
      <w:pPr>
        <w:pStyle w:val="Cabealho"/>
        <w:tabs>
          <w:tab w:val="clear" w:pos="4252"/>
          <w:tab w:val="clear" w:pos="8504"/>
        </w:tabs>
        <w:spacing w:after="160" w:line="259" w:lineRule="auto"/>
      </w:pPr>
    </w:p>
    <w:p w14:paraId="37CA915D" w14:textId="1A6278F8" w:rsidR="00F56404" w:rsidRDefault="00F56404" w:rsidP="00372706">
      <w:pPr>
        <w:pStyle w:val="Cabealho"/>
        <w:tabs>
          <w:tab w:val="clear" w:pos="4252"/>
          <w:tab w:val="clear" w:pos="8504"/>
        </w:tabs>
        <w:spacing w:after="160" w:line="259" w:lineRule="auto"/>
      </w:pPr>
    </w:p>
    <w:p w14:paraId="4EC78DD8" w14:textId="589989CF" w:rsidR="00313403" w:rsidRDefault="00313403" w:rsidP="00372706">
      <w:pPr>
        <w:pStyle w:val="Cabealho"/>
        <w:tabs>
          <w:tab w:val="clear" w:pos="4252"/>
          <w:tab w:val="clear" w:pos="8504"/>
        </w:tabs>
        <w:spacing w:after="160" w:line="259" w:lineRule="auto"/>
      </w:pPr>
    </w:p>
    <w:p w14:paraId="1548AB16" w14:textId="1FD81926" w:rsidR="00313403" w:rsidRDefault="00313403" w:rsidP="00372706">
      <w:pPr>
        <w:pStyle w:val="Cabealho"/>
        <w:tabs>
          <w:tab w:val="clear" w:pos="4252"/>
          <w:tab w:val="clear" w:pos="8504"/>
        </w:tabs>
        <w:spacing w:after="160" w:line="259" w:lineRule="auto"/>
      </w:pPr>
    </w:p>
    <w:p w14:paraId="40499C73" w14:textId="6303B2DB" w:rsidR="00313403" w:rsidRDefault="00313403" w:rsidP="00372706">
      <w:pPr>
        <w:pStyle w:val="Cabealho"/>
        <w:tabs>
          <w:tab w:val="clear" w:pos="4252"/>
          <w:tab w:val="clear" w:pos="8504"/>
        </w:tabs>
        <w:spacing w:after="160" w:line="259" w:lineRule="auto"/>
      </w:pPr>
    </w:p>
    <w:p w14:paraId="1FF1558D" w14:textId="086BBB79" w:rsidR="00313403" w:rsidRDefault="00313403" w:rsidP="00372706">
      <w:pPr>
        <w:pStyle w:val="Cabealho"/>
        <w:tabs>
          <w:tab w:val="clear" w:pos="4252"/>
          <w:tab w:val="clear" w:pos="8504"/>
        </w:tabs>
        <w:spacing w:after="160" w:line="259" w:lineRule="auto"/>
      </w:pPr>
    </w:p>
    <w:p w14:paraId="2803BBBE" w14:textId="32463700" w:rsidR="00313403" w:rsidRDefault="00313403" w:rsidP="00372706">
      <w:pPr>
        <w:pStyle w:val="Cabealho"/>
        <w:tabs>
          <w:tab w:val="clear" w:pos="4252"/>
          <w:tab w:val="clear" w:pos="8504"/>
        </w:tabs>
        <w:spacing w:after="160" w:line="259" w:lineRule="auto"/>
      </w:pPr>
    </w:p>
    <w:p w14:paraId="4AB8BFB5" w14:textId="2C9F7240" w:rsidR="00313403" w:rsidRDefault="00313403" w:rsidP="00372706">
      <w:pPr>
        <w:pStyle w:val="Cabealho"/>
        <w:tabs>
          <w:tab w:val="clear" w:pos="4252"/>
          <w:tab w:val="clear" w:pos="8504"/>
        </w:tabs>
        <w:spacing w:after="160" w:line="259" w:lineRule="auto"/>
      </w:pPr>
    </w:p>
    <w:p w14:paraId="7BEEBF83" w14:textId="77777777" w:rsidR="00313403" w:rsidRDefault="00313403" w:rsidP="00372706">
      <w:pPr>
        <w:pStyle w:val="Cabealho"/>
        <w:tabs>
          <w:tab w:val="clear" w:pos="4252"/>
          <w:tab w:val="clear" w:pos="8504"/>
        </w:tabs>
        <w:spacing w:after="160" w:line="259" w:lineRule="auto"/>
      </w:pPr>
    </w:p>
    <w:p w14:paraId="74C96C95" w14:textId="77777777" w:rsidR="00F56404" w:rsidRDefault="00F56404" w:rsidP="00372706">
      <w:pPr>
        <w:pStyle w:val="Cabealho"/>
        <w:tabs>
          <w:tab w:val="clear" w:pos="4252"/>
          <w:tab w:val="clear" w:pos="8504"/>
        </w:tabs>
        <w:spacing w:after="160" w:line="259" w:lineRule="auto"/>
      </w:pPr>
    </w:p>
    <w:p w14:paraId="1F1ACEAC" w14:textId="77777777" w:rsidR="00FF51BD" w:rsidRDefault="00FF51BD"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proofErr w:type="gramStart"/>
            <w:r>
              <w:rPr>
                <w:rFonts w:ascii="Times New Roman" w:hAnsi="Times New Roman" w:cs="Times New Roman"/>
                <w:b/>
                <w:bCs/>
              </w:rPr>
              <w:t xml:space="preserve">DE </w:t>
            </w:r>
            <w:r w:rsidRPr="003D65E8">
              <w:rPr>
                <w:rFonts w:ascii="Times New Roman" w:hAnsi="Times New Roman" w:cs="Times New Roman"/>
                <w:b/>
                <w:bCs/>
              </w:rPr>
              <w:t xml:space="preserve"> HABILITAÇÃO</w:t>
            </w:r>
            <w:proofErr w:type="gramEnd"/>
            <w:r w:rsidRPr="003D65E8">
              <w:rPr>
                <w:rFonts w:ascii="Times New Roman" w:hAnsi="Times New Roman" w:cs="Times New Roman"/>
                <w:b/>
                <w:bCs/>
              </w:rPr>
              <w:t xml:space="preserve"> DEVIDAMENTE ASSINADA (Conforme anexo do edital). </w:t>
            </w:r>
          </w:p>
          <w:p w14:paraId="478102F9"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5F66571D"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344EC2">
              <w:rPr>
                <w:rFonts w:ascii="Times New Roman" w:hAnsi="Times New Roman" w:cs="Times New Roman"/>
                <w:b/>
                <w:bCs/>
              </w:rPr>
              <w:t>09</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7483BEAA"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344EC2">
              <w:rPr>
                <w:rFonts w:ascii="Times New Roman" w:hAnsi="Times New Roman" w:cs="Times New Roman"/>
                <w:b/>
                <w:bCs/>
              </w:rPr>
              <w:t>09</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0998567" w14:textId="0C9F9491" w:rsidR="00F56404" w:rsidRDefault="00F56404" w:rsidP="00025334">
            <w:pPr>
              <w:pStyle w:val="Default"/>
              <w:jc w:val="both"/>
              <w:rPr>
                <w:rFonts w:ascii="Times New Roman" w:hAnsi="Times New Roman" w:cs="Times New Roman"/>
              </w:rPr>
            </w:pPr>
          </w:p>
          <w:p w14:paraId="6113317A" w14:textId="66D29546" w:rsidR="00F56404" w:rsidRPr="003D65E8" w:rsidRDefault="00F56404" w:rsidP="00F56404">
            <w:pPr>
              <w:pStyle w:val="Default"/>
              <w:jc w:val="both"/>
              <w:rPr>
                <w:rFonts w:ascii="Times New Roman" w:hAnsi="Times New Roman" w:cs="Times New Roman"/>
              </w:rPr>
            </w:pPr>
            <w:r w:rsidRPr="00F56404">
              <w:rPr>
                <w:rFonts w:ascii="Times New Roman" w:hAnsi="Times New Roman" w:cs="Times New Roman"/>
                <w:b/>
                <w:bCs/>
              </w:rPr>
              <w:t>k)</w:t>
            </w:r>
            <w:r>
              <w:t xml:space="preserve"> </w:t>
            </w:r>
            <w:r w:rsidRPr="00F56404">
              <w:rPr>
                <w:rFonts w:ascii="Times New Roman" w:hAnsi="Times New Roman" w:cs="Times New Roman"/>
              </w:rPr>
              <w:tab/>
              <w:t>Prova de Autorização de Funcionamento (AFE) concedida pela Anvisa. A Prova de Autorização de Funcionamento (AFE) somente será exigida da licitante que vier a concorrer para os itens nos quais se aplica.</w:t>
            </w:r>
          </w:p>
          <w:p w14:paraId="033FB09E" w14:textId="77777777" w:rsidR="002D5310" w:rsidRPr="003D65E8" w:rsidRDefault="002D5310" w:rsidP="00025334">
            <w:pPr>
              <w:pStyle w:val="Default"/>
              <w:jc w:val="both"/>
              <w:rPr>
                <w:rFonts w:ascii="Times New Roman" w:hAnsi="Times New Roman" w:cs="Times New Roman"/>
              </w:rPr>
            </w:pPr>
          </w:p>
          <w:p w14:paraId="3D674735" w14:textId="278A46CC" w:rsidR="002D5310" w:rsidRDefault="00F56404" w:rsidP="00025334">
            <w:pPr>
              <w:widowControl w:val="0"/>
              <w:shd w:val="clear" w:color="auto" w:fill="FFFFFF"/>
              <w:suppressAutoHyphens/>
              <w:jc w:val="both"/>
              <w:rPr>
                <w:b/>
                <w:bCs/>
                <w:color w:val="000000"/>
                <w:sz w:val="24"/>
                <w:szCs w:val="24"/>
                <w:lang w:eastAsia="zh-CN"/>
              </w:rPr>
            </w:pPr>
            <w:r>
              <w:rPr>
                <w:b/>
                <w:bCs/>
                <w:sz w:val="24"/>
                <w:szCs w:val="24"/>
              </w:rPr>
              <w:t>l</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5C2B7998" w14:textId="54B714FD" w:rsidR="00FF51BD" w:rsidRPr="005371D5" w:rsidRDefault="00FF51BD" w:rsidP="005371D5">
      <w:pPr>
        <w:jc w:val="both"/>
        <w:rPr>
          <w:b/>
          <w:sz w:val="36"/>
          <w:szCs w:val="36"/>
        </w:rPr>
      </w:pPr>
      <w:r>
        <w:rPr>
          <w:b/>
          <w:sz w:val="36"/>
          <w:szCs w:val="36"/>
        </w:rPr>
        <w:t>35 3435 2623</w:t>
      </w:r>
    </w:p>
    <w:sectPr w:rsidR="00FF51BD" w:rsidRPr="005371D5"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2037" w14:textId="77777777" w:rsidR="00C95352" w:rsidRDefault="00C95352" w:rsidP="00D85572">
      <w:pPr>
        <w:spacing w:after="0" w:line="240" w:lineRule="auto"/>
      </w:pPr>
      <w:r>
        <w:separator/>
      </w:r>
    </w:p>
  </w:endnote>
  <w:endnote w:type="continuationSeparator" w:id="0">
    <w:p w14:paraId="7890910F" w14:textId="77777777" w:rsidR="00C95352" w:rsidRDefault="00C95352"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DB87" w14:textId="77777777" w:rsidR="00C95352" w:rsidRDefault="00C95352" w:rsidP="00D85572">
      <w:pPr>
        <w:spacing w:after="0" w:line="240" w:lineRule="auto"/>
      </w:pPr>
      <w:r>
        <w:separator/>
      </w:r>
    </w:p>
  </w:footnote>
  <w:footnote w:type="continuationSeparator" w:id="0">
    <w:p w14:paraId="5B9A1036" w14:textId="77777777" w:rsidR="00C95352" w:rsidRDefault="00C95352"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23"/>
  </w:num>
  <w:num w:numId="5">
    <w:abstractNumId w:val="13"/>
  </w:num>
  <w:num w:numId="6">
    <w:abstractNumId w:val="1"/>
  </w:num>
  <w:num w:numId="7">
    <w:abstractNumId w:val="6"/>
  </w:num>
  <w:num w:numId="8">
    <w:abstractNumId w:val="7"/>
  </w:num>
  <w:num w:numId="9">
    <w:abstractNumId w:val="28"/>
  </w:num>
  <w:num w:numId="10">
    <w:abstractNumId w:val="29"/>
  </w:num>
  <w:num w:numId="11">
    <w:abstractNumId w:val="18"/>
  </w:num>
  <w:num w:numId="12">
    <w:abstractNumId w:val="30"/>
  </w:num>
  <w:num w:numId="13">
    <w:abstractNumId w:val="24"/>
  </w:num>
  <w:num w:numId="14">
    <w:abstractNumId w:val="16"/>
  </w:num>
  <w:num w:numId="15">
    <w:abstractNumId w:val="21"/>
  </w:num>
  <w:num w:numId="16">
    <w:abstractNumId w:val="15"/>
  </w:num>
  <w:num w:numId="17">
    <w:abstractNumId w:val="14"/>
  </w:num>
  <w:num w:numId="18">
    <w:abstractNumId w:val="19"/>
  </w:num>
  <w:num w:numId="19">
    <w:abstractNumId w:val="25"/>
  </w:num>
  <w:num w:numId="20">
    <w:abstractNumId w:val="8"/>
  </w:num>
  <w:num w:numId="21">
    <w:abstractNumId w:val="3"/>
  </w:num>
  <w:num w:numId="22">
    <w:abstractNumId w:val="4"/>
  </w:num>
  <w:num w:numId="23">
    <w:abstractNumId w:val="20"/>
  </w:num>
  <w:num w:numId="24">
    <w:abstractNumId w:val="11"/>
  </w:num>
  <w:num w:numId="25">
    <w:abstractNumId w:val="10"/>
  </w:num>
  <w:num w:numId="26">
    <w:abstractNumId w:val="2"/>
  </w:num>
  <w:num w:numId="27">
    <w:abstractNumId w:val="26"/>
  </w:num>
  <w:num w:numId="28">
    <w:abstractNumId w:val="17"/>
  </w:num>
  <w:num w:numId="29">
    <w:abstractNumId w:val="12"/>
  </w:num>
  <w:num w:numId="30">
    <w:abstractNumId w:val="27"/>
  </w:num>
  <w:num w:numId="3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3675"/>
    <w:rsid w:val="00046B50"/>
    <w:rsid w:val="000470D0"/>
    <w:rsid w:val="0005259B"/>
    <w:rsid w:val="00061519"/>
    <w:rsid w:val="00063602"/>
    <w:rsid w:val="0007377D"/>
    <w:rsid w:val="00076819"/>
    <w:rsid w:val="000862E7"/>
    <w:rsid w:val="000A10DE"/>
    <w:rsid w:val="000C06C4"/>
    <w:rsid w:val="000C507B"/>
    <w:rsid w:val="000D7507"/>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A11"/>
    <w:rsid w:val="001A092E"/>
    <w:rsid w:val="001A28D0"/>
    <w:rsid w:val="001A4A88"/>
    <w:rsid w:val="001B1675"/>
    <w:rsid w:val="001C2368"/>
    <w:rsid w:val="001C754E"/>
    <w:rsid w:val="001D2E1C"/>
    <w:rsid w:val="001D3992"/>
    <w:rsid w:val="001F08BA"/>
    <w:rsid w:val="001F2A96"/>
    <w:rsid w:val="001F7C3D"/>
    <w:rsid w:val="0022376C"/>
    <w:rsid w:val="00227496"/>
    <w:rsid w:val="002352DD"/>
    <w:rsid w:val="002370BB"/>
    <w:rsid w:val="002503DE"/>
    <w:rsid w:val="00251A87"/>
    <w:rsid w:val="00260C70"/>
    <w:rsid w:val="00272E64"/>
    <w:rsid w:val="002764E1"/>
    <w:rsid w:val="00286894"/>
    <w:rsid w:val="002930F8"/>
    <w:rsid w:val="00294509"/>
    <w:rsid w:val="002A0002"/>
    <w:rsid w:val="002A3809"/>
    <w:rsid w:val="002B2515"/>
    <w:rsid w:val="002D0F38"/>
    <w:rsid w:val="002D5310"/>
    <w:rsid w:val="002D7963"/>
    <w:rsid w:val="0030481C"/>
    <w:rsid w:val="00313403"/>
    <w:rsid w:val="00315FAD"/>
    <w:rsid w:val="00321DFA"/>
    <w:rsid w:val="0032237E"/>
    <w:rsid w:val="003421C8"/>
    <w:rsid w:val="00344EC2"/>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5C5F"/>
    <w:rsid w:val="00406954"/>
    <w:rsid w:val="0041542C"/>
    <w:rsid w:val="00425E40"/>
    <w:rsid w:val="00431CB9"/>
    <w:rsid w:val="004419E1"/>
    <w:rsid w:val="00445665"/>
    <w:rsid w:val="00447FB8"/>
    <w:rsid w:val="004536F1"/>
    <w:rsid w:val="00456F11"/>
    <w:rsid w:val="00483144"/>
    <w:rsid w:val="004A46A9"/>
    <w:rsid w:val="004A7664"/>
    <w:rsid w:val="004B3E29"/>
    <w:rsid w:val="004B6A73"/>
    <w:rsid w:val="004C4BF3"/>
    <w:rsid w:val="004D17BF"/>
    <w:rsid w:val="004F2E99"/>
    <w:rsid w:val="004F5CD3"/>
    <w:rsid w:val="00505894"/>
    <w:rsid w:val="00506BC6"/>
    <w:rsid w:val="005164E9"/>
    <w:rsid w:val="005205B6"/>
    <w:rsid w:val="00523935"/>
    <w:rsid w:val="005249F4"/>
    <w:rsid w:val="00524DAB"/>
    <w:rsid w:val="00535ED3"/>
    <w:rsid w:val="00536666"/>
    <w:rsid w:val="005371D5"/>
    <w:rsid w:val="005375EA"/>
    <w:rsid w:val="00540F7C"/>
    <w:rsid w:val="005459EB"/>
    <w:rsid w:val="00546387"/>
    <w:rsid w:val="00550430"/>
    <w:rsid w:val="00560FB8"/>
    <w:rsid w:val="00565CA3"/>
    <w:rsid w:val="00576873"/>
    <w:rsid w:val="00585F6F"/>
    <w:rsid w:val="0058703E"/>
    <w:rsid w:val="00590120"/>
    <w:rsid w:val="00592916"/>
    <w:rsid w:val="005935E9"/>
    <w:rsid w:val="005A32D6"/>
    <w:rsid w:val="005B2260"/>
    <w:rsid w:val="005E1C72"/>
    <w:rsid w:val="005E3732"/>
    <w:rsid w:val="005E7774"/>
    <w:rsid w:val="006013C9"/>
    <w:rsid w:val="00605A14"/>
    <w:rsid w:val="00612C35"/>
    <w:rsid w:val="00614EDF"/>
    <w:rsid w:val="006224BD"/>
    <w:rsid w:val="00622FE4"/>
    <w:rsid w:val="00643D5E"/>
    <w:rsid w:val="006441BD"/>
    <w:rsid w:val="00650197"/>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53179"/>
    <w:rsid w:val="00755558"/>
    <w:rsid w:val="007642F6"/>
    <w:rsid w:val="00785D6A"/>
    <w:rsid w:val="00786901"/>
    <w:rsid w:val="00795AA8"/>
    <w:rsid w:val="007A08C9"/>
    <w:rsid w:val="007A2468"/>
    <w:rsid w:val="007B44F6"/>
    <w:rsid w:val="007B7C15"/>
    <w:rsid w:val="007C6FA6"/>
    <w:rsid w:val="007E77D6"/>
    <w:rsid w:val="00803B4A"/>
    <w:rsid w:val="0080423A"/>
    <w:rsid w:val="00812939"/>
    <w:rsid w:val="0082152E"/>
    <w:rsid w:val="00824586"/>
    <w:rsid w:val="008269D6"/>
    <w:rsid w:val="00827422"/>
    <w:rsid w:val="0084035F"/>
    <w:rsid w:val="008468F6"/>
    <w:rsid w:val="008515D6"/>
    <w:rsid w:val="008711DF"/>
    <w:rsid w:val="00876761"/>
    <w:rsid w:val="0088518E"/>
    <w:rsid w:val="008A230D"/>
    <w:rsid w:val="008B522D"/>
    <w:rsid w:val="008B5918"/>
    <w:rsid w:val="008C0376"/>
    <w:rsid w:val="008C7EF3"/>
    <w:rsid w:val="008D1406"/>
    <w:rsid w:val="008E4975"/>
    <w:rsid w:val="0091616B"/>
    <w:rsid w:val="00934BD0"/>
    <w:rsid w:val="009506BC"/>
    <w:rsid w:val="009509BA"/>
    <w:rsid w:val="00950A61"/>
    <w:rsid w:val="009525DC"/>
    <w:rsid w:val="009527FD"/>
    <w:rsid w:val="00952874"/>
    <w:rsid w:val="009651AA"/>
    <w:rsid w:val="0097327C"/>
    <w:rsid w:val="009815EE"/>
    <w:rsid w:val="00985D4A"/>
    <w:rsid w:val="009868EE"/>
    <w:rsid w:val="009B1E89"/>
    <w:rsid w:val="009B492C"/>
    <w:rsid w:val="009C238B"/>
    <w:rsid w:val="009D07BC"/>
    <w:rsid w:val="009D1988"/>
    <w:rsid w:val="009D200F"/>
    <w:rsid w:val="009E798F"/>
    <w:rsid w:val="009E7AA1"/>
    <w:rsid w:val="009F4C00"/>
    <w:rsid w:val="00A1717C"/>
    <w:rsid w:val="00A17E9D"/>
    <w:rsid w:val="00A20620"/>
    <w:rsid w:val="00A230F5"/>
    <w:rsid w:val="00A45C0C"/>
    <w:rsid w:val="00A55493"/>
    <w:rsid w:val="00A61695"/>
    <w:rsid w:val="00A70111"/>
    <w:rsid w:val="00A75FBC"/>
    <w:rsid w:val="00A9262E"/>
    <w:rsid w:val="00A94914"/>
    <w:rsid w:val="00AA60B4"/>
    <w:rsid w:val="00AA6472"/>
    <w:rsid w:val="00AB15C4"/>
    <w:rsid w:val="00AB16B2"/>
    <w:rsid w:val="00AB2498"/>
    <w:rsid w:val="00AB38AF"/>
    <w:rsid w:val="00AC079C"/>
    <w:rsid w:val="00AD0E1A"/>
    <w:rsid w:val="00AE08AA"/>
    <w:rsid w:val="00AF2674"/>
    <w:rsid w:val="00AF6A2F"/>
    <w:rsid w:val="00AF6D79"/>
    <w:rsid w:val="00B02CC7"/>
    <w:rsid w:val="00B133B8"/>
    <w:rsid w:val="00B27EDB"/>
    <w:rsid w:val="00B41C34"/>
    <w:rsid w:val="00B46001"/>
    <w:rsid w:val="00B512D7"/>
    <w:rsid w:val="00B56E20"/>
    <w:rsid w:val="00B63266"/>
    <w:rsid w:val="00B7395A"/>
    <w:rsid w:val="00B7538A"/>
    <w:rsid w:val="00B768D3"/>
    <w:rsid w:val="00B8059C"/>
    <w:rsid w:val="00B93F8E"/>
    <w:rsid w:val="00BA0FF6"/>
    <w:rsid w:val="00BB1711"/>
    <w:rsid w:val="00BD6045"/>
    <w:rsid w:val="00C03CBB"/>
    <w:rsid w:val="00C105A3"/>
    <w:rsid w:val="00C1215C"/>
    <w:rsid w:val="00C51B01"/>
    <w:rsid w:val="00C522A6"/>
    <w:rsid w:val="00C56478"/>
    <w:rsid w:val="00C66E1B"/>
    <w:rsid w:val="00C70071"/>
    <w:rsid w:val="00C73745"/>
    <w:rsid w:val="00C740F2"/>
    <w:rsid w:val="00C8252A"/>
    <w:rsid w:val="00C87DB6"/>
    <w:rsid w:val="00C94A03"/>
    <w:rsid w:val="00C95352"/>
    <w:rsid w:val="00C97E4E"/>
    <w:rsid w:val="00CA6CAD"/>
    <w:rsid w:val="00CB6338"/>
    <w:rsid w:val="00CF3928"/>
    <w:rsid w:val="00D05C5F"/>
    <w:rsid w:val="00D119BE"/>
    <w:rsid w:val="00D150EB"/>
    <w:rsid w:val="00D316B3"/>
    <w:rsid w:val="00D40BD0"/>
    <w:rsid w:val="00D4231F"/>
    <w:rsid w:val="00D458C4"/>
    <w:rsid w:val="00D51562"/>
    <w:rsid w:val="00D57BCB"/>
    <w:rsid w:val="00D82D97"/>
    <w:rsid w:val="00D8337E"/>
    <w:rsid w:val="00D85572"/>
    <w:rsid w:val="00D91D05"/>
    <w:rsid w:val="00DA2E1D"/>
    <w:rsid w:val="00DA34F8"/>
    <w:rsid w:val="00DD6C60"/>
    <w:rsid w:val="00DE7E5B"/>
    <w:rsid w:val="00DF10D9"/>
    <w:rsid w:val="00E14766"/>
    <w:rsid w:val="00E2168A"/>
    <w:rsid w:val="00E24DA2"/>
    <w:rsid w:val="00E37183"/>
    <w:rsid w:val="00E42027"/>
    <w:rsid w:val="00E52005"/>
    <w:rsid w:val="00E53928"/>
    <w:rsid w:val="00E567CC"/>
    <w:rsid w:val="00E67768"/>
    <w:rsid w:val="00E73389"/>
    <w:rsid w:val="00E73C50"/>
    <w:rsid w:val="00E849C8"/>
    <w:rsid w:val="00E85749"/>
    <w:rsid w:val="00E8765E"/>
    <w:rsid w:val="00E9303D"/>
    <w:rsid w:val="00E96709"/>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AA2"/>
    <w:rsid w:val="00F61FD3"/>
    <w:rsid w:val="00FA0358"/>
    <w:rsid w:val="00FA2D98"/>
    <w:rsid w:val="00FB0609"/>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67</Pages>
  <Words>21657</Words>
  <Characters>116954</Characters>
  <Application>Microsoft Office Word</Application>
  <DocSecurity>0</DocSecurity>
  <Lines>974</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21</cp:revision>
  <cp:lastPrinted>2021-11-12T12:59:00Z</cp:lastPrinted>
  <dcterms:created xsi:type="dcterms:W3CDTF">2021-11-12T13:00:00Z</dcterms:created>
  <dcterms:modified xsi:type="dcterms:W3CDTF">2022-01-17T12:26:00Z</dcterms:modified>
</cp:coreProperties>
</file>